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Obec Nepoměřice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Zastupitelstvo obce Nepoměřice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Obecně závazná vyhláška obce Nepoměřice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right="0" w:hanging="0"/>
        <w:rPr/>
      </w:pPr>
      <w:r>
        <w:rPr>
          <w:rFonts w:cs="Arial" w:ascii="Arial" w:hAnsi="Arial"/>
          <w:sz w:val="22"/>
          <w:szCs w:val="22"/>
        </w:rPr>
        <w:t>Zastupitelstvo obce Nepoměřice se na svém zasedání dne 14. 03. 2025 usneslo vydat na základě § 59 odst. 4 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ind w:hanging="0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0" w:leader="none"/>
        </w:tabs>
        <w:ind w:left="0" w:right="0" w:hanging="426"/>
        <w:jc w:val="both"/>
        <w:rPr>
          <w:rFonts w:ascii="Arial" w:hAnsi="Arial" w:eastAsia="Times New Roman" w:cs="Arial"/>
          <w:bCs/>
          <w:color w:val="auto"/>
          <w:kern w:val="0"/>
          <w:sz w:val="22"/>
          <w:szCs w:val="22"/>
          <w:lang w:val="cs-CZ" w:eastAsia="cs-CZ" w:bidi="ar-SA"/>
        </w:rPr>
      </w:pPr>
      <w:r>
        <w:rPr>
          <w:rFonts w:eastAsia="Times New Roman" w:cs="Arial" w:ascii="Arial" w:hAnsi="Arial"/>
          <w:bCs/>
          <w:color w:val="auto"/>
          <w:kern w:val="0"/>
          <w:sz w:val="22"/>
          <w:szCs w:val="22"/>
          <w:lang w:val="cs-CZ" w:eastAsia="cs-CZ" w:bidi="ar-SA"/>
        </w:rPr>
        <w:t>Tato vyhláška stanovuje obecní systém odpadového hospodářství na území obce Nepoměřice.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eastAsia="Times New Roman" w:cs="Arial"/>
          <w:bCs/>
          <w:color w:val="auto"/>
          <w:kern w:val="0"/>
          <w:sz w:val="22"/>
          <w:szCs w:val="22"/>
          <w:lang w:val="cs-CZ" w:eastAsia="cs-CZ" w:bidi="ar-SA"/>
        </w:rPr>
      </w:pPr>
      <w:r>
        <w:rPr>
          <w:rFonts w:eastAsia="Times New Roman" w:cs="Arial" w:ascii="Arial" w:hAnsi="Arial"/>
          <w:bCs/>
          <w:color w:val="auto"/>
          <w:kern w:val="0"/>
          <w:sz w:val="22"/>
          <w:szCs w:val="22"/>
          <w:lang w:val="cs-CZ" w:eastAsia="cs-CZ" w:bidi="ar-SA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right="0" w:hanging="426"/>
        <w:jc w:val="both"/>
        <w:rPr>
          <w:rFonts w:ascii="Arial" w:hAnsi="Arial" w:eastAsia="Times New Roman" w:cs="Arial"/>
          <w:bCs/>
          <w:color w:val="auto"/>
          <w:kern w:val="0"/>
          <w:sz w:val="22"/>
          <w:szCs w:val="22"/>
          <w:lang w:val="cs-CZ" w:eastAsia="cs-CZ" w:bidi="ar-SA"/>
        </w:rPr>
      </w:pPr>
      <w:r>
        <w:rPr>
          <w:rFonts w:eastAsia="Times New Roman" w:cs="Arial" w:ascii="Arial" w:hAnsi="Arial"/>
          <w:bCs/>
          <w:color w:val="auto"/>
          <w:kern w:val="0"/>
          <w:sz w:val="22"/>
          <w:szCs w:val="22"/>
          <w:lang w:val="cs-CZ" w:eastAsia="cs-CZ" w:bidi="ar-SA"/>
        </w:rPr>
        <w:t xml:space="preserve">  </w:t>
      </w:r>
      <w:r>
        <w:rPr>
          <w:rFonts w:eastAsia="Times New Roman" w:cs="Arial" w:ascii="Arial" w:hAnsi="Arial"/>
          <w:bCs/>
          <w:color w:val="auto"/>
          <w:kern w:val="0"/>
          <w:sz w:val="22"/>
          <w:szCs w:val="22"/>
          <w:lang w:val="cs-CZ" w:eastAsia="cs-CZ" w:bidi="ar-SA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eastAsia="Times New Roman" w:cs="Arial" w:ascii="Arial" w:hAnsi="Arial"/>
          <w:bCs/>
          <w:color w:val="auto"/>
          <w:kern w:val="0"/>
          <w:sz w:val="22"/>
          <w:szCs w:val="22"/>
          <w:lang w:val="cs-CZ" w:eastAsia="cs-CZ" w:bidi="ar-SA"/>
        </w:rPr>
        <w:footnoteReference w:id="2"/>
      </w:r>
      <w:r>
        <w:rPr>
          <w:rFonts w:eastAsia="Times New Roman" w:cs="Arial" w:ascii="Arial" w:hAnsi="Arial"/>
          <w:bCs/>
          <w:color w:val="auto"/>
          <w:kern w:val="0"/>
          <w:sz w:val="22"/>
          <w:szCs w:val="22"/>
          <w:lang w:val="cs-CZ" w:eastAsia="cs-CZ" w:bidi="ar-SA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eastAsia="Times New Roman" w:cs="Arial"/>
          <w:bCs/>
          <w:color w:val="auto"/>
          <w:kern w:val="0"/>
          <w:sz w:val="22"/>
          <w:szCs w:val="22"/>
          <w:lang w:val="cs-CZ" w:eastAsia="cs-CZ" w:bidi="ar-SA"/>
        </w:rPr>
      </w:pPr>
      <w:r>
        <w:rPr>
          <w:rFonts w:eastAsia="Times New Roman" w:cs="Arial" w:ascii="Arial" w:hAnsi="Arial"/>
          <w:bCs/>
          <w:color w:val="auto"/>
          <w:kern w:val="0"/>
          <w:sz w:val="22"/>
          <w:szCs w:val="22"/>
          <w:lang w:val="cs-CZ" w:eastAsia="cs-CZ" w:bidi="ar-SA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right="0" w:hanging="426"/>
        <w:jc w:val="both"/>
        <w:rPr>
          <w:rFonts w:ascii="Arial" w:hAnsi="Arial" w:eastAsia="Times New Roman" w:cs="Arial"/>
          <w:bCs/>
          <w:color w:val="auto"/>
          <w:kern w:val="0"/>
          <w:sz w:val="22"/>
          <w:szCs w:val="22"/>
          <w:lang w:val="cs-CZ" w:eastAsia="cs-CZ" w:bidi="ar-SA"/>
        </w:rPr>
      </w:pPr>
      <w:r>
        <w:rPr>
          <w:rFonts w:eastAsia="Times New Roman" w:cs="Arial" w:ascii="Arial" w:hAnsi="Arial"/>
          <w:bCs/>
          <w:color w:val="auto"/>
          <w:kern w:val="0"/>
          <w:sz w:val="22"/>
          <w:szCs w:val="22"/>
          <w:lang w:val="cs-CZ" w:eastAsia="cs-CZ" w:bidi="ar-SA"/>
        </w:rPr>
        <w:t xml:space="preserve"> </w:t>
      </w:r>
      <w:r>
        <w:rPr>
          <w:rFonts w:eastAsia="Times New Roman" w:cs="Arial" w:ascii="Arial" w:hAnsi="Arial"/>
          <w:bCs/>
          <w:color w:val="auto"/>
          <w:kern w:val="0"/>
          <w:sz w:val="22"/>
          <w:szCs w:val="22"/>
          <w:lang w:val="cs-CZ" w:eastAsia="cs-CZ" w:bidi="ar-SA"/>
        </w:rPr>
        <w:tab/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eastAsia="Times New Roman" w:cs="Arial" w:ascii="Arial" w:hAnsi="Arial"/>
          <w:bCs/>
          <w:color w:val="auto"/>
          <w:kern w:val="0"/>
          <w:sz w:val="22"/>
          <w:szCs w:val="22"/>
          <w:lang w:val="cs-CZ" w:eastAsia="cs-CZ" w:bidi="ar-SA"/>
        </w:rPr>
        <w:footnoteReference w:id="3"/>
      </w:r>
      <w:r>
        <w:rPr>
          <w:rFonts w:eastAsia="Times New Roman" w:cs="Arial" w:ascii="Arial" w:hAnsi="Arial"/>
          <w:bCs/>
          <w:color w:val="auto"/>
          <w:kern w:val="0"/>
          <w:sz w:val="22"/>
          <w:szCs w:val="22"/>
          <w:lang w:val="cs-CZ" w:eastAsia="cs-CZ" w:bidi="ar-SA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eastAsia="Times New Roman" w:cs="Arial"/>
          <w:bCs/>
          <w:color w:val="auto"/>
          <w:kern w:val="0"/>
          <w:sz w:val="22"/>
          <w:szCs w:val="22"/>
          <w:lang w:val="cs-CZ" w:eastAsia="cs-CZ" w:bidi="ar-SA"/>
        </w:rPr>
      </w:pPr>
      <w:r>
        <w:rPr>
          <w:rFonts w:eastAsia="Times New Roman" w:cs="Arial" w:ascii="Arial" w:hAnsi="Arial"/>
          <w:bCs/>
          <w:color w:val="auto"/>
          <w:kern w:val="0"/>
          <w:sz w:val="22"/>
          <w:szCs w:val="22"/>
          <w:lang w:val="cs-CZ" w:eastAsia="cs-CZ" w:bidi="ar-SA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right="0" w:hanging="426"/>
        <w:jc w:val="both"/>
        <w:rPr>
          <w:rFonts w:ascii="Arial" w:hAnsi="Arial" w:eastAsia="Times New Roman" w:cs="Arial"/>
          <w:bCs/>
          <w:color w:val="auto"/>
          <w:kern w:val="0"/>
          <w:sz w:val="22"/>
          <w:szCs w:val="22"/>
          <w:lang w:val="cs-CZ" w:eastAsia="cs-CZ" w:bidi="ar-SA"/>
        </w:rPr>
      </w:pPr>
      <w:r>
        <w:rPr>
          <w:rFonts w:eastAsia="Times New Roman" w:cs="Arial" w:ascii="Arial" w:hAnsi="Arial"/>
          <w:bCs/>
          <w:color w:val="auto"/>
          <w:kern w:val="0"/>
          <w:sz w:val="22"/>
          <w:szCs w:val="22"/>
          <w:lang w:val="cs-CZ" w:eastAsia="cs-CZ" w:bidi="ar-SA"/>
        </w:rPr>
        <w:t xml:space="preserve"> </w:t>
      </w:r>
      <w:r>
        <w:rPr>
          <w:rFonts w:eastAsia="Times New Roman" w:cs="Arial" w:ascii="Arial" w:hAnsi="Arial"/>
          <w:bCs/>
          <w:color w:val="auto"/>
          <w:kern w:val="0"/>
          <w:sz w:val="22"/>
          <w:szCs w:val="22"/>
          <w:lang w:val="cs-CZ" w:eastAsia="cs-CZ" w:bidi="ar-SA"/>
        </w:rPr>
        <w:tab/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786" w:right="0" w:hanging="360"/>
        <w:contextualSpacing/>
        <w:rPr/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>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ind w:left="786" w:right="0" w:hanging="36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ind w:left="786" w:right="0" w:hanging="36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786" w:right="0" w:hanging="36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786" w:right="0" w:hanging="36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odpad.</w:t>
      </w:r>
    </w:p>
    <w:p>
      <w:pPr>
        <w:pStyle w:val="Normal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Odsazentlatextu"/>
        <w:numPr>
          <w:ilvl w:val="0"/>
          <w:numId w:val="6"/>
        </w:numPr>
        <w:ind w:left="360" w:right="0" w:hanging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>
      <w:pPr>
        <w:pStyle w:val="Odsazentlatextu"/>
        <w:ind w:left="360" w:righ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6"/>
        </w:numPr>
        <w:ind w:left="360" w:right="0" w:hanging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nádob.</w:t>
      </w:r>
    </w:p>
    <w:p>
      <w:pPr>
        <w:pStyle w:val="Odsazentlatextu"/>
        <w:ind w:left="360" w:righ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20" w:right="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eastAsia="Times New Roman" w:cs="Arial"/>
          <w:color w:val="auto"/>
          <w:kern w:val="0"/>
          <w:sz w:val="22"/>
          <w:szCs w:val="22"/>
          <w:lang w:val="cs-CZ" w:eastAsia="cs-CZ" w:bidi="ar-SA"/>
        </w:rPr>
      </w:pP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 xml:space="preserve">Papír, plasty, sklo, kovy, biologické odpady, jedlé oleje a tuky, textil se soustřeďují do </w:t>
      </w:r>
      <w:r>
        <w:rPr>
          <w:rFonts w:eastAsia="Times New Roman" w:cs="Arial" w:ascii="Arial" w:hAnsi="Arial"/>
          <w:bCs/>
          <w:color w:val="auto"/>
          <w:kern w:val="0"/>
          <w:sz w:val="22"/>
          <w:szCs w:val="22"/>
          <w:lang w:val="cs-CZ" w:eastAsia="cs-CZ" w:bidi="ar-SA"/>
        </w:rPr>
        <w:t>zvláštních sběrných nádob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>, kterými jsou kontejnery o objemu 1100 l na papír, plasty, sklo a kovy, popelnice o objemu 240 l na jedlé oleje a tuky, zvláštní nádoba na textil, velkoobjemové kontejnery na biologicky rozložitelný odpad.</w:t>
      </w:r>
    </w:p>
    <w:p>
      <w:pPr>
        <w:pStyle w:val="Default"/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/>
          <w:color w:val="00B0F0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1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left="0" w:right="0" w:hanging="0"/>
        <w:textAlignment w:val="auto"/>
        <w:rPr>
          <w:rFonts w:ascii="Arial" w:hAnsi="Arial" w:eastAsia="Times New Roman" w:cs="Arial"/>
          <w:color w:val="auto"/>
          <w:kern w:val="0"/>
          <w:sz w:val="22"/>
          <w:szCs w:val="22"/>
          <w:lang w:val="cs-CZ" w:eastAsia="cs-CZ" w:bidi="ar-SA"/>
        </w:rPr>
      </w:pP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 xml:space="preserve">Zvláštní sběrné nádoby jsou umístěny na těchto stanovištích: </w:t>
      </w:r>
    </w:p>
    <w:p>
      <w:pPr>
        <w:pStyle w:val="Normal"/>
        <w:widowControl/>
        <w:tabs>
          <w:tab w:val="clear" w:pos="708"/>
          <w:tab w:val="left" w:pos="684" w:leader="none"/>
        </w:tabs>
        <w:suppressAutoHyphens w:val="true"/>
        <w:overflowPunct w:val="true"/>
        <w:bidi w:val="0"/>
        <w:spacing w:lineRule="auto" w:line="228" w:before="0" w:after="0"/>
        <w:ind w:left="680" w:right="0" w:hanging="283"/>
        <w:jc w:val="left"/>
        <w:textAlignment w:val="baseline"/>
        <w:rPr>
          <w:rFonts w:ascii="Arial" w:hAnsi="Arial" w:eastAsia="Times New Roman" w:cs="Arial"/>
          <w:i/>
          <w:i/>
          <w:iCs/>
          <w:color w:val="auto"/>
          <w:kern w:val="0"/>
          <w:sz w:val="22"/>
          <w:szCs w:val="22"/>
          <w:lang w:val="cs-CZ" w:eastAsia="cs-CZ" w:bidi="ar-SA"/>
        </w:rPr>
      </w:pPr>
      <w:r>
        <w:rPr>
          <w:rFonts w:eastAsia="Times New Roman" w:cs="Arial" w:ascii="Arial" w:hAnsi="Arial"/>
          <w:bCs/>
          <w:i/>
          <w:iCs/>
          <w:color w:val="auto"/>
          <w:kern w:val="0"/>
          <w:sz w:val="22"/>
          <w:szCs w:val="22"/>
          <w:lang w:val="cs-CZ" w:eastAsia="cs-CZ" w:bidi="ar-SA"/>
        </w:rPr>
        <w:t>a) Nepoměřice (u hasičské zbrojnice) – sběrné nádoby na plast, papír, sklo, kov, biologický odpad, jedlé oleje a tuky, velkoobjemové kontejnery na biologický odpad</w:t>
      </w:r>
    </w:p>
    <w:p>
      <w:pPr>
        <w:pStyle w:val="NormlnIMP"/>
        <w:widowControl/>
        <w:tabs>
          <w:tab w:val="clear" w:pos="708"/>
          <w:tab w:val="left" w:pos="396" w:leader="none"/>
        </w:tabs>
        <w:suppressAutoHyphens w:val="true"/>
        <w:overflowPunct w:val="true"/>
        <w:bidi w:val="0"/>
        <w:spacing w:lineRule="auto" w:line="228"/>
        <w:ind w:left="0" w:right="0" w:hanging="0"/>
        <w:jc w:val="left"/>
        <w:textAlignment w:val="baseline"/>
        <w:rPr>
          <w:rFonts w:ascii="Arial" w:hAnsi="Arial" w:eastAsia="Times New Roman" w:cs="Arial"/>
          <w:i/>
          <w:i/>
          <w:iCs/>
          <w:color w:val="auto"/>
          <w:kern w:val="0"/>
          <w:sz w:val="22"/>
          <w:szCs w:val="22"/>
          <w:lang w:val="cs-CZ" w:eastAsia="cs-CZ" w:bidi="ar-SA"/>
        </w:rPr>
      </w:pPr>
      <w:r>
        <w:rPr>
          <w:rFonts w:eastAsia="Times New Roman" w:cs="Arial" w:ascii="Arial" w:hAnsi="Arial"/>
          <w:i/>
          <w:iCs/>
          <w:color w:val="auto"/>
          <w:kern w:val="0"/>
          <w:sz w:val="22"/>
          <w:szCs w:val="22"/>
          <w:lang w:val="cs-CZ" w:eastAsia="cs-CZ" w:bidi="ar-SA"/>
        </w:rPr>
        <w:tab/>
        <w:t>b) Nepoměřice (sportovní areál Nepoměřice) – sběrné nádoby na plast, papír, sklo</w:t>
      </w:r>
    </w:p>
    <w:p>
      <w:pPr>
        <w:pStyle w:val="NormlnIMP"/>
        <w:widowControl/>
        <w:tabs>
          <w:tab w:val="clear" w:pos="708"/>
          <w:tab w:val="left" w:pos="396" w:leader="none"/>
        </w:tabs>
        <w:suppressAutoHyphens w:val="true"/>
        <w:overflowPunct w:val="true"/>
        <w:bidi w:val="0"/>
        <w:spacing w:lineRule="auto" w:line="228" w:before="0" w:after="0"/>
        <w:ind w:left="680" w:right="0" w:hanging="850"/>
        <w:jc w:val="left"/>
        <w:textAlignment w:val="baseline"/>
        <w:rPr>
          <w:rFonts w:ascii="Arial" w:hAnsi="Arial" w:eastAsia="Times New Roman" w:cs="Arial"/>
          <w:i/>
          <w:i/>
          <w:iCs/>
          <w:color w:val="auto"/>
          <w:kern w:val="0"/>
          <w:sz w:val="22"/>
          <w:szCs w:val="22"/>
          <w:lang w:val="cs-CZ" w:eastAsia="cs-CZ" w:bidi="ar-SA"/>
        </w:rPr>
      </w:pPr>
      <w:r>
        <w:rPr>
          <w:rFonts w:eastAsia="Times New Roman" w:cs="Arial" w:ascii="Arial" w:hAnsi="Arial"/>
          <w:i/>
          <w:iCs/>
          <w:color w:val="auto"/>
          <w:kern w:val="0"/>
          <w:sz w:val="22"/>
          <w:szCs w:val="22"/>
          <w:lang w:val="cs-CZ" w:eastAsia="cs-CZ" w:bidi="ar-SA"/>
        </w:rPr>
        <w:tab/>
        <w:t>c) Miletice (na návsi u rybníka) - sběrné nádoby na plast, papír, sklo, kov, biologický odpad, jedlé oleje a tuky</w:t>
      </w:r>
    </w:p>
    <w:p>
      <w:pPr>
        <w:pStyle w:val="NormlnIMP"/>
        <w:widowControl/>
        <w:tabs>
          <w:tab w:val="clear" w:pos="708"/>
          <w:tab w:val="left" w:pos="396" w:leader="none"/>
        </w:tabs>
        <w:suppressAutoHyphens w:val="true"/>
        <w:overflowPunct w:val="true"/>
        <w:bidi w:val="0"/>
        <w:spacing w:lineRule="auto" w:line="228"/>
        <w:ind w:left="0" w:right="0" w:hanging="0"/>
        <w:jc w:val="left"/>
        <w:textAlignment w:val="baseline"/>
        <w:rPr>
          <w:rFonts w:ascii="Arial" w:hAnsi="Arial" w:eastAsia="Times New Roman" w:cs="Arial"/>
          <w:i/>
          <w:i/>
          <w:iCs/>
          <w:color w:val="auto"/>
          <w:kern w:val="0"/>
          <w:sz w:val="22"/>
          <w:szCs w:val="22"/>
          <w:lang w:val="cs-CZ" w:eastAsia="cs-CZ" w:bidi="ar-SA"/>
        </w:rPr>
      </w:pPr>
      <w:r>
        <w:rPr>
          <w:rFonts w:eastAsia="Times New Roman" w:cs="Arial" w:ascii="Arial" w:hAnsi="Arial"/>
          <w:i/>
          <w:iCs/>
          <w:color w:val="auto"/>
          <w:kern w:val="0"/>
          <w:sz w:val="22"/>
          <w:szCs w:val="22"/>
          <w:lang w:val="cs-CZ" w:eastAsia="cs-CZ" w:bidi="ar-SA"/>
        </w:rPr>
        <w:tab/>
        <w:t>d) Bedřichov - sběrné nádoby na plast, papír, sklo, kov, jedlé oleje a tuky</w:t>
      </w:r>
    </w:p>
    <w:p>
      <w:pPr>
        <w:pStyle w:val="NormlnIMP"/>
        <w:widowControl/>
        <w:tabs>
          <w:tab w:val="clear" w:pos="708"/>
          <w:tab w:val="left" w:pos="396" w:leader="none"/>
        </w:tabs>
        <w:suppressAutoHyphens w:val="true"/>
        <w:overflowPunct w:val="true"/>
        <w:bidi w:val="0"/>
        <w:spacing w:lineRule="auto" w:line="228"/>
        <w:ind w:left="0" w:right="0" w:hanging="0"/>
        <w:jc w:val="left"/>
        <w:textAlignment w:val="baseline"/>
        <w:rPr>
          <w:rFonts w:ascii="Arial" w:hAnsi="Arial" w:cs="Arial"/>
          <w:i/>
          <w:i/>
          <w:iCs/>
          <w:color w:val="00B0F0"/>
          <w:sz w:val="22"/>
          <w:szCs w:val="22"/>
          <w:u w:val="single"/>
        </w:rPr>
      </w:pPr>
      <w:r>
        <w:rPr>
          <w:rFonts w:cs="Arial" w:ascii="Arial" w:hAnsi="Arial"/>
          <w:i/>
          <w:iCs/>
          <w:color w:val="00B0F0"/>
          <w:sz w:val="22"/>
          <w:szCs w:val="22"/>
          <w:u w:val="single"/>
        </w:rPr>
      </w:r>
    </w:p>
    <w:p>
      <w:pPr>
        <w:pStyle w:val="NormlnIMP"/>
        <w:numPr>
          <w:ilvl w:val="0"/>
          <w:numId w:val="1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left="0" w:right="0" w:hanging="0"/>
        <w:textAlignment w:val="auto"/>
        <w:rPr>
          <w:rFonts w:ascii="Arial" w:hAnsi="Arial" w:eastAsia="Times New Roman" w:cs="Arial"/>
          <w:color w:val="auto"/>
          <w:kern w:val="0"/>
          <w:sz w:val="22"/>
          <w:szCs w:val="22"/>
          <w:lang w:val="cs-CZ" w:eastAsia="cs-CZ" w:bidi="ar-SA"/>
        </w:rPr>
      </w:pP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>Zvláštní sběrné nádoby jsou barevně odlišeny a označeny příslušnými nápisy: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720" w:right="0" w:hanging="360"/>
        <w:contextualSpacing/>
        <w:rPr/>
      </w:pPr>
      <w:r>
        <w:rPr>
          <w:rFonts w:cs="Arial" w:ascii="Arial" w:hAnsi="Arial"/>
          <w:bCs/>
          <w:i/>
          <w:color w:val="000000"/>
        </w:rPr>
        <w:t>Biologické odpady, barva hnědá, velkoobjemové kontejnery – barva zelená s nápisem BIOLOGICKÝ ODPAD,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720" w:right="0" w:hanging="360"/>
        <w:contextualSpacing/>
        <w:rPr/>
      </w:pPr>
      <w:r>
        <w:rPr>
          <w:rFonts w:cs="Arial" w:ascii="Arial" w:hAnsi="Arial"/>
          <w:bCs/>
          <w:i/>
          <w:color w:val="000000"/>
        </w:rPr>
        <w:t>Papír, barva modrá,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720" w:right="0" w:hanging="360"/>
        <w:contextualSpacing/>
        <w:rPr/>
      </w:pPr>
      <w:r>
        <w:rPr>
          <w:rFonts w:cs="Arial" w:ascii="Arial" w:hAnsi="Arial"/>
          <w:bCs/>
          <w:i/>
          <w:color w:val="000000"/>
        </w:rPr>
        <w:t xml:space="preserve">Plasty, PET lahve, barva žlutá, 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720" w:right="0" w:hanging="360"/>
        <w:contextualSpacing/>
        <w:rPr/>
      </w:pPr>
      <w:r>
        <w:rPr>
          <w:rFonts w:cs="Arial" w:ascii="Arial" w:hAnsi="Arial"/>
          <w:bCs/>
          <w:i/>
          <w:color w:val="000000"/>
        </w:rPr>
        <w:t>Sklo, barva zelená,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720" w:right="0" w:hanging="360"/>
        <w:contextualSpacing/>
        <w:rPr/>
      </w:pPr>
      <w:r>
        <w:rPr>
          <w:rFonts w:cs="Arial" w:ascii="Arial" w:hAnsi="Arial"/>
          <w:bCs/>
          <w:i/>
          <w:color w:val="000000"/>
        </w:rPr>
        <w:t xml:space="preserve">Kovy, barva černá, 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 barva sběrná nádoba černé barva označená příslušným nápisem,</w:t>
      </w:r>
    </w:p>
    <w:p>
      <w:pPr>
        <w:pStyle w:val="Normal"/>
        <w:numPr>
          <w:ilvl w:val="0"/>
          <w:numId w:val="7"/>
        </w:numPr>
        <w:rPr/>
      </w:pPr>
      <w:r>
        <w:rPr>
          <w:rFonts w:cs="Arial" w:ascii="Arial" w:hAnsi="Arial"/>
          <w:i/>
          <w:iCs/>
          <w:sz w:val="22"/>
          <w:szCs w:val="22"/>
        </w:rPr>
        <w:t>Textil, sběrná nádoba modré bary s nápisem TEXTIL.</w:t>
      </w:r>
    </w:p>
    <w:p>
      <w:pPr>
        <w:pStyle w:val="Normal"/>
        <w:numPr>
          <w:ilvl w:val="0"/>
          <w:numId w:val="0"/>
        </w:numPr>
        <w:ind w:left="72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left="360" w:right="0" w:hanging="0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Default"/>
        <w:ind w:left="360" w:right="0" w:hanging="0"/>
        <w:rPr/>
      </w:pPr>
      <w:r>
        <w:rPr/>
      </w:r>
    </w:p>
    <w:p>
      <w:pPr>
        <w:pStyle w:val="Nadpis2"/>
        <w:ind w:hanging="0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ind w:hanging="0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 w:right="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 a na webových stránkách obce.</w:t>
      </w:r>
    </w:p>
    <w:p>
      <w:pPr>
        <w:pStyle w:val="Normal"/>
        <w:numPr>
          <w:ilvl w:val="0"/>
          <w:numId w:val="0"/>
        </w:numPr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numPr>
          <w:ilvl w:val="0"/>
          <w:numId w:val="0"/>
        </w:numPr>
        <w:ind w:left="360" w:hanging="0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left="360" w:right="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2"/>
          <w:szCs w:val="22"/>
        </w:rPr>
        <w:t>Svoz objemného odpadu je zajišťován dvakrát ročně jeho odebíráním na předem vyhlášených přechodných stanovištích přímo do zvláštních sběrných nádob k tomuto účelu určených. Informace o svozu jsou zveřejňovány na úřední desce obecního úřadu a na webových stránkách obce.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9"/>
        </w:numPr>
        <w:ind w:left="426" w:righ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rozumějí:</w:t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left="340" w:right="0" w:hanging="0"/>
        <w:jc w:val="left"/>
        <w:rPr/>
      </w:pPr>
      <w:r>
        <w:rPr>
          <w:rFonts w:cs="Arial" w:ascii="Arial" w:hAnsi="Arial"/>
          <w:bCs/>
          <w:i/>
          <w:color w:val="auto"/>
          <w:sz w:val="22"/>
          <w:szCs w:val="22"/>
        </w:rPr>
        <w:t xml:space="preserve">      </w:t>
      </w:r>
      <w:r>
        <w:rPr>
          <w:rFonts w:cs="Arial" w:ascii="Arial" w:hAnsi="Arial"/>
          <w:bCs/>
          <w:i/>
          <w:color w:val="auto"/>
          <w:sz w:val="22"/>
          <w:szCs w:val="22"/>
        </w:rPr>
        <w:t>a) popelnice,</w:t>
        <w:br/>
        <w:t xml:space="preserve">      b) kontejnery,</w:t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left="340" w:right="0" w:hanging="0"/>
        <w:jc w:val="both"/>
        <w:rPr/>
      </w:pPr>
      <w:r>
        <w:rPr>
          <w:rFonts w:cs="Arial" w:ascii="Arial" w:hAnsi="Arial"/>
          <w:i/>
          <w:color w:val="auto"/>
          <w:sz w:val="22"/>
          <w:szCs w:val="22"/>
        </w:rPr>
        <w:t xml:space="preserve">      </w:t>
      </w:r>
      <w:r>
        <w:rPr>
          <w:rFonts w:cs="Arial" w:ascii="Arial" w:hAnsi="Arial"/>
          <w:i/>
          <w:color w:val="auto"/>
          <w:sz w:val="22"/>
          <w:szCs w:val="22"/>
        </w:rPr>
        <w:t>c) velkoobjemové kontejnery,</w:t>
      </w:r>
    </w:p>
    <w:p>
      <w:pPr>
        <w:pStyle w:val="Normal"/>
        <w:widowControl w:val="false"/>
        <w:numPr>
          <w:ilvl w:val="0"/>
          <w:numId w:val="0"/>
        </w:numPr>
        <w:bidi w:val="0"/>
        <w:spacing w:before="0" w:after="0"/>
        <w:ind w:left="340" w:right="0" w:hanging="0"/>
        <w:jc w:val="both"/>
        <w:rPr/>
      </w:pPr>
      <w:r>
        <w:rPr>
          <w:rFonts w:cs="Arial" w:ascii="Arial" w:hAnsi="Arial"/>
          <w:i/>
          <w:color w:val="auto"/>
          <w:sz w:val="22"/>
          <w:szCs w:val="22"/>
        </w:rPr>
        <w:t xml:space="preserve">     </w:t>
      </w:r>
      <w:r>
        <w:rPr>
          <w:rFonts w:cs="Arial" w:ascii="Arial" w:hAnsi="Arial"/>
          <w:i/>
          <w:color w:val="auto"/>
          <w:sz w:val="22"/>
          <w:szCs w:val="22"/>
        </w:rPr>
        <w:t>d) odpadkové koše,</w:t>
      </w:r>
      <w:r>
        <w:rPr>
          <w:rFonts w:cs="Arial" w:ascii="Arial" w:hAnsi="Arial"/>
          <w:color w:val="auto"/>
          <w:sz w:val="22"/>
          <w:szCs w:val="22"/>
        </w:rPr>
        <w:t xml:space="preserve"> </w:t>
      </w:r>
      <w:r>
        <w:rPr>
          <w:rFonts w:cs="Arial" w:ascii="Arial" w:hAnsi="Arial"/>
          <w:i/>
          <w:color w:val="auto"/>
          <w:sz w:val="22"/>
          <w:szCs w:val="22"/>
        </w:rPr>
        <w:t xml:space="preserve">které jsou umístěny na veřejných prostranstvích v obci, sloužící </w:t>
        <w:tab/>
        <w:t xml:space="preserve">    pro odkládání drobného směsného komunálního odpadu.</w:t>
      </w:r>
    </w:p>
    <w:p>
      <w:pPr>
        <w:pStyle w:val="Normal"/>
        <w:widowControl w:val="false"/>
        <w:numPr>
          <w:ilvl w:val="0"/>
          <w:numId w:val="0"/>
        </w:numPr>
        <w:ind w:left="426" w:right="0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numPr>
          <w:ilvl w:val="0"/>
          <w:numId w:val="9"/>
        </w:numPr>
        <w:ind w:left="426" w:righ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Default"/>
        <w:ind w:left="360" w:right="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adpis2"/>
        <w:ind w:hanging="0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 movitými věcmi v rámci předcházení vzniku odpadu</w:t>
      </w:r>
    </w:p>
    <w:p>
      <w:pPr>
        <w:pStyle w:val="Normal"/>
        <w:ind w:left="426" w:right="0" w:hanging="0"/>
        <w:jc w:val="center"/>
        <w:rPr>
          <w:rFonts w:ascii="Arial" w:hAnsi="Arial" w:cs="Arial"/>
          <w:b/>
          <w:b/>
          <w:bCs/>
          <w:i/>
          <w:i/>
          <w:color w:val="00B0F0"/>
          <w:sz w:val="22"/>
          <w:szCs w:val="22"/>
        </w:rPr>
      </w:pPr>
      <w:r>
        <w:rPr>
          <w:rFonts w:cs="Arial" w:ascii="Arial" w:hAnsi="Arial"/>
          <w:b/>
          <w:bCs/>
          <w:i/>
          <w:color w:val="00B0F0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v rámci předcházení vzniku odpadu za účelem jejich opětovného použití nakládá s těmito movitými věcmi: oděvy a textil.</w:t>
      </w:r>
    </w:p>
    <w:p>
      <w:pPr>
        <w:pStyle w:val="Normal"/>
        <w:tabs>
          <w:tab w:val="clear" w:pos="708"/>
          <w:tab w:val="left" w:pos="709" w:leader="none"/>
        </w:tabs>
        <w:ind w:left="36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jc w:val="both"/>
        <w:rPr/>
      </w:pPr>
      <w:r>
        <w:rPr>
          <w:rFonts w:cs="Arial" w:ascii="Arial" w:hAnsi="Arial"/>
          <w:sz w:val="22"/>
          <w:szCs w:val="22"/>
        </w:rPr>
        <w:t>Movité věci uvedené v odst. 1 lze předávat do sběrné nádoby umístěné v Nepoměřicích u hasičské zbrojnice.</w:t>
      </w:r>
      <w:r>
        <w:rPr>
          <w:rFonts w:cs="Arial" w:ascii="Arial" w:hAnsi="Arial"/>
          <w:color w:val="00B0F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Movitá věc musí být předána v takovém stavu, aby bylo možné její opětovné použití. </w:t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9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ind w:left="360" w:right="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lineRule="auto" w:line="288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Zrušuje se obecně závazná vyhláška obce Nepoměřice č. 1/2021,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o stanovení obecního systému odpadového hospodářství</w:t>
      </w:r>
      <w:r>
        <w:rPr>
          <w:rFonts w:cs="Arial" w:ascii="Arial" w:hAnsi="Arial"/>
          <w:sz w:val="22"/>
          <w:szCs w:val="22"/>
        </w:rPr>
        <w:t>, ze dne 29. 11. 2021.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2"/>
          <w:szCs w:val="22"/>
        </w:rPr>
        <w:t>Čl. 10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 w:val="false"/>
          <w:b w:val="false"/>
          <w:bCs w:val="false"/>
          <w:i/>
          <w:i/>
          <w:color w:val="0070C0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0070C0"/>
          <w:sz w:val="22"/>
          <w:szCs w:val="22"/>
        </w:rPr>
      </w:r>
    </w:p>
    <w:p>
      <w:pPr>
        <w:pStyle w:val="Normal"/>
        <w:widowControl/>
        <w:bidi w:val="0"/>
        <w:spacing w:lineRule="auto" w:line="288" w:before="120" w:after="0"/>
        <w:ind w:left="0" w:right="0" w:hanging="0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color w:val="000000"/>
          <w:sz w:val="22"/>
          <w:szCs w:val="22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zvylnk"/>
        <w:spacing w:before="0" w:after="0"/>
        <w:jc w:val="left"/>
        <w:rPr>
          <w:rFonts w:ascii="Arial" w:hAnsi="Arial" w:cs="Arial"/>
          <w:b w:val="false"/>
          <w:b w:val="false"/>
          <w:bCs w:val="false"/>
          <w:i/>
          <w:i/>
          <w:color w:val="0070C0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0070C0"/>
          <w:sz w:val="22"/>
          <w:szCs w:val="22"/>
        </w:rPr>
      </w:r>
    </w:p>
    <w:p>
      <w:pPr>
        <w:pStyle w:val="Nzvylnk"/>
        <w:spacing w:before="0" w:after="0"/>
        <w:jc w:val="left"/>
        <w:rPr>
          <w:rFonts w:ascii="Arial" w:hAnsi="Arial" w:cs="Arial"/>
          <w:b w:val="false"/>
          <w:b w:val="false"/>
          <w:bCs w:val="false"/>
          <w:i/>
          <w:i/>
          <w:color w:val="0070C0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0070C0"/>
          <w:sz w:val="22"/>
          <w:szCs w:val="22"/>
        </w:rPr>
      </w:r>
    </w:p>
    <w:p>
      <w:pPr>
        <w:pStyle w:val="Normal"/>
        <w:ind w:left="0" w:right="0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     ………………</w:t>
      </w:r>
      <w:r>
        <w:rPr>
          <w:rFonts w:cs="Arial" w:ascii="Arial" w:hAnsi="Arial"/>
          <w:bCs/>
          <w:sz w:val="22"/>
          <w:szCs w:val="22"/>
        </w:rPr>
        <w:t>...……………….</w:t>
        <w:tab/>
        <w:tab/>
        <w:tab/>
        <w:t xml:space="preserve">                  ………………...……………….</w:t>
      </w:r>
    </w:p>
    <w:p>
      <w:pPr>
        <w:pStyle w:val="Normal"/>
        <w:ind w:left="0" w:right="0" w:firstLine="708"/>
        <w:rPr/>
      </w:pPr>
      <w:r>
        <w:rPr>
          <w:rFonts w:cs="Arial" w:ascii="Arial" w:hAnsi="Arial"/>
          <w:bCs/>
          <w:i w:val="false"/>
          <w:iCs w:val="false"/>
          <w:sz w:val="22"/>
          <w:szCs w:val="22"/>
        </w:rPr>
        <w:t xml:space="preserve">Roman Křelina, DiS. </w:t>
        <w:tab/>
      </w:r>
      <w:r>
        <w:rPr>
          <w:rFonts w:cs="Arial" w:ascii="Arial" w:hAnsi="Arial"/>
          <w:bCs/>
          <w:sz w:val="22"/>
          <w:szCs w:val="22"/>
        </w:rPr>
        <w:tab/>
        <w:tab/>
        <w:tab/>
        <w:tab/>
        <w:tab/>
        <w:t>Mgr. Markéta Špitálníková</w:t>
      </w:r>
    </w:p>
    <w:p>
      <w:pPr>
        <w:pStyle w:val="Normal"/>
        <w:ind w:left="708" w:right="0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    </w:t>
      </w:r>
      <w:r>
        <w:rPr>
          <w:rFonts w:cs="Arial" w:ascii="Arial" w:hAnsi="Arial"/>
          <w:bCs/>
          <w:sz w:val="22"/>
          <w:szCs w:val="22"/>
        </w:rPr>
        <w:t>místostarosta</w:t>
        <w:tab/>
        <w:tab/>
        <w:tab/>
        <w:tab/>
        <w:tab/>
        <w:tab/>
        <w:tab/>
        <w:t>starosta</w:t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Zpat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i/>
        <w:szCs w:val="22"/>
        <w:iCs/>
        <w:rFonts w:ascii="Arial" w:hAnsi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numPr>
        <w:ilvl w:val="0"/>
        <w:numId w:val="0"/>
      </w:numPr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next w:val="Normal"/>
    <w:link w:val="Nadpis3Char"/>
    <w:qFormat/>
    <w:pPr>
      <w:keepNext w:val="true"/>
      <w:keepLines/>
      <w:numPr>
        <w:ilvl w:val="0"/>
        <w:numId w:val="0"/>
      </w:numPr>
      <w:spacing w:before="40" w:after="0"/>
      <w:outlineLvl w:val="2"/>
    </w:pPr>
    <w:rPr>
      <w:rFonts w:ascii="Calibri Light" w:hAnsi="Calibri Light" w:eastAsia="Times New Roman" w:cs="Times New Roman"/>
      <w:color w:val="1F4D78"/>
    </w:rPr>
  </w:style>
  <w:style w:type="character" w:styleId="DefaultParagraphFont">
    <w:name w:val="Default Paragraph Font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TextkomenteChar">
    <w:name w:val="Text komentáře Char"/>
    <w:basedOn w:val="DefaultParagraphFont"/>
    <w:link w:val="Annotationtext"/>
    <w:qFormat/>
    <w:rPr/>
  </w:style>
  <w:style w:type="character" w:styleId="PedmtkomenteChar">
    <w:name w:val="Předmět komentáře Char"/>
    <w:link w:val="Annotationsubject"/>
    <w:qFormat/>
    <w:rPr>
      <w:b/>
      <w:bCs/>
    </w:rPr>
  </w:style>
  <w:style w:type="character" w:styleId="ZpatChar">
    <w:name w:val="Zápatí Char"/>
    <w:qFormat/>
    <w:rPr>
      <w:sz w:val="24"/>
      <w:szCs w:val="24"/>
    </w:rPr>
  </w:style>
  <w:style w:type="character" w:styleId="Nadpis3Char">
    <w:name w:val="Nadpis 3 Char"/>
    <w:basedOn w:val="DefaultParagraphFont"/>
    <w:qFormat/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character" w:styleId="WW8Num2z0">
    <w:name w:val="WW8Num2z0"/>
    <w:qFormat/>
    <w:rPr>
      <w:rFonts w:ascii="Arial" w:hAnsi="Arial" w:cs="Arial"/>
      <w:bCs/>
      <w:i/>
      <w:iCs/>
      <w:color w:val="000000"/>
      <w:sz w:val="22"/>
      <w:szCs w:val="22"/>
    </w:rPr>
  </w:style>
  <w:style w:type="character" w:styleId="WW8Num11z0">
    <w:name w:val="WW8Num11z0"/>
    <w:qFormat/>
    <w:rPr>
      <w:rFonts w:ascii="Arial" w:hAnsi="Arial" w:eastAsia="Times New Roman" w:cs="Arial"/>
      <w:i/>
      <w:color w:val="000000"/>
      <w:sz w:val="22"/>
      <w:szCs w:val="22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Odsazentlatextu">
    <w:name w:val="Body Text Indent"/>
    <w:basedOn w:val="Normal"/>
    <w:pPr>
      <w:ind w:left="708" w:right="0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right="0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pPr/>
    <w:rPr>
      <w:sz w:val="20"/>
      <w:szCs w:val="20"/>
    </w:rPr>
  </w:style>
  <w:style w:type="paragraph" w:styleId="NormlnIMP">
    <w:name w:val="Normální_IMP"/>
    <w:basedOn w:val="Normal"/>
    <w:qFormat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right="0" w:hanging="540"/>
      <w:jc w:val="both"/>
    </w:pPr>
    <w:rPr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qFormat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Nzvylnk">
    <w:name w:val="Názvy článků"/>
    <w:basedOn w:val="Normal"/>
    <w:qFormat/>
    <w:pPr>
      <w:keepNext w:val="true"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Odstavec se seznamem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numbering" w:styleId="WW8Num2">
    <w:name w:val="WW8Num2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9626</TotalTime>
  <Application>LibreOffice/7.3.0.3$Windows_X86_64 LibreOffice_project/0f246aa12d0eee4a0f7adcefbf7c878fc2238db3</Application>
  <AppVersion>15.0000</AppVersion>
  <Pages>3</Pages>
  <Words>866</Words>
  <Characters>4831</Characters>
  <CharactersWithSpaces>5684</CharactersWithSpaces>
  <Paragraphs>76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2023-03-29T13:21:00Z</dcterms:created>
  <dc:creator>DA210036</dc:creator>
  <dc:description/>
  <dc:language>cs-CZ</dc:language>
  <cp:lastModifiedBy/>
  <cp:lastPrinted>2025-03-12T23:35:35Z</cp:lastPrinted>
  <dcterms:modified xsi:type="dcterms:W3CDTF">2025-04-01T00:33:27Z</dcterms:modified>
  <cp:revision>14</cp:revision>
  <dc:subject/>
  <dc:title>Obec Nepoměřice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