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A82D" w14:textId="77777777" w:rsidR="0030688A" w:rsidRDefault="00000000">
      <w:pPr>
        <w:pStyle w:val="Nzev"/>
        <w:rPr>
          <w:rFonts w:ascii="Georgia Pro" w:hAnsi="Georgia Pro"/>
        </w:rPr>
      </w:pPr>
      <w:r>
        <w:rPr>
          <w:rFonts w:ascii="Georgia Pro" w:hAnsi="Georgia Pro"/>
        </w:rPr>
        <w:t>Obec Ruprechtov</w:t>
      </w:r>
      <w:r>
        <w:rPr>
          <w:rFonts w:ascii="Georgia Pro" w:hAnsi="Georgia Pro"/>
        </w:rPr>
        <w:br/>
        <w:t>Zastupitelstvo obce Ruprechtov</w:t>
      </w:r>
    </w:p>
    <w:p w14:paraId="4D617D92" w14:textId="77777777" w:rsidR="0030688A" w:rsidRDefault="00000000">
      <w:pPr>
        <w:pStyle w:val="Nadpis1"/>
        <w:rPr>
          <w:rFonts w:ascii="Georgia Pro" w:hAnsi="Georgia Pro"/>
        </w:rPr>
      </w:pPr>
      <w:r>
        <w:rPr>
          <w:rFonts w:ascii="Georgia Pro" w:hAnsi="Georgia Pro"/>
        </w:rPr>
        <w:t>Obecně závazná vyhláška obce Ruprechtov</w:t>
      </w:r>
      <w:r>
        <w:rPr>
          <w:rFonts w:ascii="Georgia Pro" w:hAnsi="Georgia Pro"/>
        </w:rPr>
        <w:br/>
        <w:t>o místním poplatku z pobytu</w:t>
      </w:r>
    </w:p>
    <w:p w14:paraId="301B1EDC" w14:textId="77777777" w:rsidR="0030688A" w:rsidRDefault="00000000">
      <w:pPr>
        <w:pStyle w:val="UvodniVeta"/>
        <w:rPr>
          <w:rFonts w:ascii="Georgia Pro" w:hAnsi="Georgia Pro"/>
        </w:rPr>
      </w:pPr>
      <w:r>
        <w:rPr>
          <w:rFonts w:ascii="Georgia Pro" w:hAnsi="Georgia Pro"/>
        </w:rPr>
        <w:t>Zastupitelstvo obce Ruprechtov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B7BA914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1</w:t>
      </w:r>
      <w:r>
        <w:rPr>
          <w:rFonts w:ascii="Georgia Pro" w:hAnsi="Georgia Pro"/>
        </w:rPr>
        <w:br/>
        <w:t>Úvodní ustanovení</w:t>
      </w:r>
    </w:p>
    <w:p w14:paraId="72121EDB" w14:textId="77777777" w:rsidR="0030688A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Obec Ruprechtov touto vyhláškou zavádí místní poplatek z pobytu (dále jen „poplatek“).</w:t>
      </w:r>
    </w:p>
    <w:p w14:paraId="3C36B969" w14:textId="77777777" w:rsidR="0030688A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Správcem poplatku je obecní úřad</w:t>
      </w:r>
      <w:r>
        <w:rPr>
          <w:rStyle w:val="Znakapoznpodarou"/>
          <w:rFonts w:ascii="Georgia Pro" w:hAnsi="Georgia Pro"/>
        </w:rPr>
        <w:footnoteReference w:id="1"/>
      </w:r>
      <w:r>
        <w:rPr>
          <w:rFonts w:ascii="Georgia Pro" w:hAnsi="Georgia Pro"/>
        </w:rPr>
        <w:t>.</w:t>
      </w:r>
    </w:p>
    <w:p w14:paraId="1A73C2BE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2</w:t>
      </w:r>
      <w:r>
        <w:rPr>
          <w:rFonts w:ascii="Georgia Pro" w:hAnsi="Georgia Pro"/>
        </w:rPr>
        <w:br/>
        <w:t>Předmět, poplatník a plátce poplatku</w:t>
      </w:r>
    </w:p>
    <w:p w14:paraId="6602C571" w14:textId="77777777" w:rsidR="0030688A" w:rsidRDefault="00000000">
      <w:pPr>
        <w:pStyle w:val="Odstavec"/>
        <w:numPr>
          <w:ilvl w:val="0"/>
          <w:numId w:val="2"/>
        </w:numPr>
      </w:pPr>
      <w:r>
        <w:rPr>
          <w:rFonts w:ascii="Georgia Pro" w:hAnsi="Georgia Pro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Georgia Pro" w:hAnsi="Georgia Pro"/>
        </w:rPr>
        <w:footnoteReference w:id="2"/>
      </w:r>
      <w:r>
        <w:rPr>
          <w:rFonts w:ascii="Georgia Pro" w:hAnsi="Georgia Pro"/>
        </w:rPr>
        <w:t>.</w:t>
      </w:r>
    </w:p>
    <w:p w14:paraId="135D78C3" w14:textId="77777777" w:rsidR="0030688A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Poplatníkem poplatku je osoba, která v obci není přihlášená (dále jen „poplatník“)</w:t>
      </w:r>
      <w:r>
        <w:rPr>
          <w:rStyle w:val="Znakapoznpodarou"/>
          <w:rFonts w:ascii="Georgia Pro" w:hAnsi="Georgia Pro"/>
        </w:rPr>
        <w:footnoteReference w:id="3"/>
      </w:r>
      <w:r>
        <w:rPr>
          <w:rFonts w:ascii="Georgia Pro" w:hAnsi="Georgia Pro"/>
        </w:rPr>
        <w:t>.</w:t>
      </w:r>
    </w:p>
    <w:p w14:paraId="03EE9C39" w14:textId="77777777" w:rsidR="0030688A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Georgia Pro" w:hAnsi="Georgia Pro"/>
        </w:rPr>
        <w:footnoteReference w:id="4"/>
      </w:r>
      <w:r>
        <w:rPr>
          <w:rFonts w:ascii="Georgia Pro" w:hAnsi="Georgia Pro"/>
        </w:rPr>
        <w:t>.</w:t>
      </w:r>
    </w:p>
    <w:p w14:paraId="73EBDFD7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3</w:t>
      </w:r>
      <w:r>
        <w:rPr>
          <w:rFonts w:ascii="Georgia Pro" w:hAnsi="Georgia Pro"/>
        </w:rPr>
        <w:br/>
        <w:t>Ohlašovací povinnost</w:t>
      </w:r>
    </w:p>
    <w:p w14:paraId="3AF73098" w14:textId="77777777" w:rsidR="0030688A" w:rsidRDefault="00000000">
      <w:pPr>
        <w:pStyle w:val="Odstavec"/>
        <w:numPr>
          <w:ilvl w:val="0"/>
          <w:numId w:val="3"/>
        </w:numPr>
      </w:pPr>
      <w:r>
        <w:rPr>
          <w:rFonts w:ascii="Georgia Pro" w:hAnsi="Georgia Pro"/>
        </w:rP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  <w:rFonts w:ascii="Georgia Pro" w:hAnsi="Georgia Pro"/>
        </w:rPr>
        <w:footnoteReference w:id="5"/>
      </w:r>
      <w:r>
        <w:rPr>
          <w:rFonts w:ascii="Georgia Pro" w:hAnsi="Georgia Pro"/>
        </w:rPr>
        <w:t>.</w:t>
      </w:r>
    </w:p>
    <w:p w14:paraId="381009DE" w14:textId="77777777" w:rsidR="0030688A" w:rsidRDefault="00000000">
      <w:pPr>
        <w:pStyle w:val="Odstavec"/>
        <w:numPr>
          <w:ilvl w:val="0"/>
          <w:numId w:val="1"/>
        </w:numPr>
      </w:pPr>
      <w:r>
        <w:rPr>
          <w:rFonts w:ascii="Georgia Pro" w:hAnsi="Georgia Pro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Georgia Pro" w:hAnsi="Georgia Pro"/>
        </w:rPr>
        <w:footnoteReference w:id="6"/>
      </w:r>
      <w:r>
        <w:rPr>
          <w:rFonts w:ascii="Georgia Pro" w:hAnsi="Georgia Pro"/>
        </w:rPr>
        <w:t>.</w:t>
      </w:r>
    </w:p>
    <w:p w14:paraId="5A574A89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4</w:t>
      </w:r>
      <w:r>
        <w:rPr>
          <w:rFonts w:ascii="Georgia Pro" w:hAnsi="Georgia Pro"/>
        </w:rPr>
        <w:br/>
        <w:t>Evidenční povinnost</w:t>
      </w:r>
    </w:p>
    <w:p w14:paraId="61D34F25" w14:textId="77777777" w:rsidR="0030688A" w:rsidRDefault="00000000">
      <w:pPr>
        <w:pStyle w:val="Odstavec"/>
      </w:pPr>
      <w:r>
        <w:rPr>
          <w:rFonts w:ascii="Georgia Pro" w:hAnsi="Georgia Pro"/>
        </w:rPr>
        <w:t>Evidenční povinnost plátce, včetně povinnosti vést evidenční knihu, upravuje zákon</w:t>
      </w:r>
      <w:r>
        <w:rPr>
          <w:rStyle w:val="Znakapoznpodarou"/>
          <w:rFonts w:ascii="Georgia Pro" w:hAnsi="Georgia Pro"/>
        </w:rPr>
        <w:footnoteReference w:id="7"/>
      </w:r>
      <w:r>
        <w:rPr>
          <w:rFonts w:ascii="Georgia Pro" w:hAnsi="Georgia Pro"/>
        </w:rPr>
        <w:t>.</w:t>
      </w:r>
    </w:p>
    <w:p w14:paraId="0290356E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lastRenderedPageBreak/>
        <w:t>Čl. 5</w:t>
      </w:r>
      <w:r>
        <w:rPr>
          <w:rFonts w:ascii="Georgia Pro" w:hAnsi="Georgia Pro"/>
        </w:rPr>
        <w:br/>
        <w:t>Sazba poplatku</w:t>
      </w:r>
    </w:p>
    <w:p w14:paraId="715E8185" w14:textId="77777777" w:rsidR="0030688A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Sazba poplatku činí 20 Kč za každý započatý den pobytu, s výjimkou dne počátku pobytu.</w:t>
      </w:r>
    </w:p>
    <w:p w14:paraId="519BACE0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6</w:t>
      </w:r>
      <w:r>
        <w:rPr>
          <w:rFonts w:ascii="Georgia Pro" w:hAnsi="Georgia Pro"/>
        </w:rPr>
        <w:br/>
        <w:t>Splatnost poplatku</w:t>
      </w:r>
    </w:p>
    <w:p w14:paraId="5C43EAF6" w14:textId="77777777" w:rsidR="0030688A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Plátce odvede vybraný poplatek správci poplatku nejpozději do 15. dne následujícího čtvrtletí.</w:t>
      </w:r>
    </w:p>
    <w:p w14:paraId="3499B430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7</w:t>
      </w:r>
      <w:r>
        <w:rPr>
          <w:rFonts w:ascii="Georgia Pro" w:hAnsi="Georgia Pro"/>
        </w:rPr>
        <w:br/>
        <w:t xml:space="preserve"> Osvobození</w:t>
      </w:r>
    </w:p>
    <w:p w14:paraId="07A26098" w14:textId="77777777" w:rsidR="0030688A" w:rsidRDefault="00000000">
      <w:pPr>
        <w:pStyle w:val="Odstavec"/>
      </w:pPr>
      <w:r>
        <w:rPr>
          <w:rFonts w:ascii="Georgia Pro" w:hAnsi="Georgia Pro"/>
        </w:rPr>
        <w:t>Od poplatku z pobytu jsou osvobozeny osoby vymezené v zákoně o místních poplatcích</w:t>
      </w:r>
      <w:r>
        <w:rPr>
          <w:rStyle w:val="Znakapoznpodarou"/>
          <w:rFonts w:ascii="Georgia Pro" w:hAnsi="Georgia Pro"/>
        </w:rPr>
        <w:footnoteReference w:id="8"/>
      </w:r>
      <w:r>
        <w:rPr>
          <w:rFonts w:ascii="Georgia Pro" w:hAnsi="Georgia Pro"/>
        </w:rPr>
        <w:t>.</w:t>
      </w:r>
    </w:p>
    <w:p w14:paraId="7B6061CF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8</w:t>
      </w:r>
      <w:r>
        <w:rPr>
          <w:rFonts w:ascii="Georgia Pro" w:hAnsi="Georgia Pro"/>
        </w:rPr>
        <w:br/>
        <w:t xml:space="preserve"> Přechodné a zrušovací ustanovení</w:t>
      </w:r>
    </w:p>
    <w:p w14:paraId="3B95440D" w14:textId="77777777" w:rsidR="0030688A" w:rsidRDefault="00000000">
      <w:pPr>
        <w:pStyle w:val="Odstavec"/>
        <w:numPr>
          <w:ilvl w:val="0"/>
          <w:numId w:val="4"/>
        </w:numPr>
        <w:rPr>
          <w:rFonts w:ascii="Georgia Pro" w:hAnsi="Georgia Pro"/>
        </w:rPr>
      </w:pPr>
      <w:r>
        <w:rPr>
          <w:rFonts w:ascii="Georgia Pro" w:hAnsi="Georgia Pro"/>
        </w:rPr>
        <w:t>Poplatkové povinnosti vzniklé před nabytím účinnosti této vyhlášky se posuzují podle dosavadních právních předpisů.</w:t>
      </w:r>
    </w:p>
    <w:p w14:paraId="68607851" w14:textId="77777777" w:rsidR="0030688A" w:rsidRDefault="00000000">
      <w:pPr>
        <w:pStyle w:val="Odstavec"/>
        <w:numPr>
          <w:ilvl w:val="0"/>
          <w:numId w:val="1"/>
        </w:numPr>
        <w:rPr>
          <w:rFonts w:ascii="Georgia Pro" w:hAnsi="Georgia Pro"/>
        </w:rPr>
      </w:pPr>
      <w:r>
        <w:rPr>
          <w:rFonts w:ascii="Georgia Pro" w:hAnsi="Georgia Pro"/>
        </w:rPr>
        <w:t>Zrušuje se obecně závazná vyhláška č. 1/2021, o místním poplatku z pobytu, ze dne 17. února 2021.</w:t>
      </w:r>
    </w:p>
    <w:p w14:paraId="57F4B436" w14:textId="77777777" w:rsidR="0030688A" w:rsidRDefault="00000000">
      <w:pPr>
        <w:pStyle w:val="Nadpis2"/>
        <w:rPr>
          <w:rFonts w:ascii="Georgia Pro" w:hAnsi="Georgia Pro"/>
        </w:rPr>
      </w:pPr>
      <w:r>
        <w:rPr>
          <w:rFonts w:ascii="Georgia Pro" w:hAnsi="Georgia Pro"/>
        </w:rPr>
        <w:t>Čl. 9</w:t>
      </w:r>
      <w:r>
        <w:rPr>
          <w:rFonts w:ascii="Georgia Pro" w:hAnsi="Georgia Pro"/>
        </w:rPr>
        <w:br/>
        <w:t>Účinnost</w:t>
      </w:r>
    </w:p>
    <w:p w14:paraId="61B24DF6" w14:textId="77777777" w:rsidR="0030688A" w:rsidRDefault="00000000">
      <w:pPr>
        <w:pStyle w:val="Odstavec"/>
        <w:rPr>
          <w:rFonts w:ascii="Georgia Pro" w:hAnsi="Georgia Pro"/>
        </w:rPr>
      </w:pPr>
      <w:r>
        <w:rPr>
          <w:rFonts w:ascii="Georgia Pro" w:hAnsi="Georgia Pro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0688A" w14:paraId="330BFA9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5C81D" w14:textId="77777777" w:rsidR="0030688A" w:rsidRDefault="00000000">
            <w:pPr>
              <w:pStyle w:val="PodpisovePole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Bc. Ondřej Špaček v. r.</w:t>
            </w:r>
            <w:r>
              <w:rPr>
                <w:rFonts w:ascii="Georgia Pro" w:hAnsi="Georgia Pro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AA9AC" w14:textId="77777777" w:rsidR="0030688A" w:rsidRDefault="00000000">
            <w:pPr>
              <w:pStyle w:val="PodpisovePole"/>
              <w:rPr>
                <w:rFonts w:ascii="Georgia Pro" w:hAnsi="Georgia Pro"/>
              </w:rPr>
            </w:pPr>
            <w:r>
              <w:rPr>
                <w:rFonts w:ascii="Georgia Pro" w:hAnsi="Georgia Pro"/>
              </w:rPr>
              <w:t>Ing. arch. Lenka Vágnerová v. r.</w:t>
            </w:r>
            <w:r>
              <w:rPr>
                <w:rFonts w:ascii="Georgia Pro" w:hAnsi="Georgia Pro"/>
              </w:rPr>
              <w:br/>
              <w:t xml:space="preserve"> místostarostka</w:t>
            </w:r>
          </w:p>
        </w:tc>
      </w:tr>
      <w:tr w:rsidR="0030688A" w14:paraId="295A616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9A0551" w14:textId="77777777" w:rsidR="0030688A" w:rsidRDefault="0030688A">
            <w:pPr>
              <w:pStyle w:val="PodpisovePole"/>
              <w:rPr>
                <w:rFonts w:ascii="Georgia Pro" w:hAnsi="Georgia Pro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CADBAD" w14:textId="77777777" w:rsidR="0030688A" w:rsidRDefault="0030688A">
            <w:pPr>
              <w:pStyle w:val="PodpisovePole"/>
              <w:rPr>
                <w:rFonts w:ascii="Georgia Pro" w:hAnsi="Georgia Pro"/>
              </w:rPr>
            </w:pPr>
          </w:p>
        </w:tc>
      </w:tr>
    </w:tbl>
    <w:p w14:paraId="0B567E70" w14:textId="77777777" w:rsidR="0030688A" w:rsidRDefault="0030688A">
      <w:pPr>
        <w:rPr>
          <w:rFonts w:ascii="Georgia Pro" w:hAnsi="Georgia Pro"/>
        </w:rPr>
      </w:pPr>
    </w:p>
    <w:sectPr w:rsidR="003068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27F5" w14:textId="77777777" w:rsidR="003A55FF" w:rsidRDefault="003A55FF">
      <w:r>
        <w:separator/>
      </w:r>
    </w:p>
  </w:endnote>
  <w:endnote w:type="continuationSeparator" w:id="0">
    <w:p w14:paraId="41DD1C3A" w14:textId="77777777" w:rsidR="003A55FF" w:rsidRDefault="003A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859C" w14:textId="77777777" w:rsidR="003A55FF" w:rsidRDefault="003A55FF">
      <w:r>
        <w:rPr>
          <w:color w:val="000000"/>
        </w:rPr>
        <w:separator/>
      </w:r>
    </w:p>
  </w:footnote>
  <w:footnote w:type="continuationSeparator" w:id="0">
    <w:p w14:paraId="10C08CC3" w14:textId="77777777" w:rsidR="003A55FF" w:rsidRDefault="003A55FF">
      <w:r>
        <w:continuationSeparator/>
      </w:r>
    </w:p>
  </w:footnote>
  <w:footnote w:id="1">
    <w:p w14:paraId="0C2F32A9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9B746C1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72206EB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F705709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3C7E32A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6629581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F0E4822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1F22B1F" w14:textId="77777777" w:rsidR="0030688A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AB1"/>
    <w:multiLevelType w:val="multilevel"/>
    <w:tmpl w:val="1136A7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5728754">
    <w:abstractNumId w:val="0"/>
  </w:num>
  <w:num w:numId="2" w16cid:durableId="1422599311">
    <w:abstractNumId w:val="0"/>
    <w:lvlOverride w:ilvl="0">
      <w:startOverride w:val="1"/>
    </w:lvlOverride>
  </w:num>
  <w:num w:numId="3" w16cid:durableId="686251510">
    <w:abstractNumId w:val="0"/>
    <w:lvlOverride w:ilvl="0">
      <w:startOverride w:val="1"/>
    </w:lvlOverride>
  </w:num>
  <w:num w:numId="4" w16cid:durableId="18437388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688A"/>
    <w:rsid w:val="0030688A"/>
    <w:rsid w:val="003A55FF"/>
    <w:rsid w:val="006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D476"/>
  <w15:docId w15:val="{92C65820-EE93-4B9B-B57C-A669FD5E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Ruprechtov</dc:creator>
  <cp:lastModifiedBy>Ondřej Špaček</cp:lastModifiedBy>
  <cp:revision>2</cp:revision>
  <cp:lastPrinted>2023-11-29T13:14:00Z</cp:lastPrinted>
  <dcterms:created xsi:type="dcterms:W3CDTF">2023-11-29T13:57:00Z</dcterms:created>
  <dcterms:modified xsi:type="dcterms:W3CDTF">2023-11-29T13:57:00Z</dcterms:modified>
</cp:coreProperties>
</file>