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A286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5A48D807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7946D5E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5F879305" w14:textId="77777777" w:rsidTr="005467B8">
        <w:tc>
          <w:tcPr>
            <w:tcW w:w="1384" w:type="dxa"/>
            <w:shd w:val="clear" w:color="auto" w:fill="auto"/>
          </w:tcPr>
          <w:p w14:paraId="54348D68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F21BBF3" w14:textId="0D73C7E2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45647A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C344C11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D570C82" w14:textId="3403F61E" w:rsidR="00394DC7" w:rsidRPr="00962BD2" w:rsidRDefault="0045647A" w:rsidP="0045647A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08"/>
              <w:rPr>
                <w:rFonts w:ascii="Times New Roman" w:hAnsi="Times New Roman"/>
              </w:rPr>
            </w:pPr>
            <w:r w:rsidRPr="0045647A">
              <w:rPr>
                <w:rFonts w:ascii="Times New Roman" w:eastAsia="Times New Roman" w:hAnsi="Times New Roman"/>
                <w:lang w:eastAsia="cs-CZ"/>
              </w:rPr>
              <w:t>SZ UKZUZ 176963/2024/49089</w:t>
            </w:r>
          </w:p>
        </w:tc>
      </w:tr>
      <w:tr w:rsidR="0087596C" w:rsidRPr="0045647A" w14:paraId="36629043" w14:textId="77777777" w:rsidTr="0045647A">
        <w:tc>
          <w:tcPr>
            <w:tcW w:w="1384" w:type="dxa"/>
            <w:shd w:val="clear" w:color="auto" w:fill="auto"/>
          </w:tcPr>
          <w:p w14:paraId="6F1FFEB4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7B4211" w14:textId="623F1B3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5647A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8A2579F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1708599D" w14:textId="2BF5D044" w:rsidR="00394DC7" w:rsidRPr="0045647A" w:rsidRDefault="003F3B8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10026">
              <w:rPr>
                <w:rFonts w:ascii="Times New Roman" w:eastAsia="Times New Roman" w:hAnsi="Times New Roman"/>
                <w:lang w:eastAsia="cs-CZ"/>
              </w:rPr>
              <w:t xml:space="preserve">UKZUZ </w:t>
            </w:r>
            <w:r w:rsidR="00810026" w:rsidRPr="00810026">
              <w:rPr>
                <w:rFonts w:ascii="Times New Roman" w:eastAsia="Times New Roman" w:hAnsi="Times New Roman"/>
                <w:lang w:eastAsia="cs-CZ"/>
              </w:rPr>
              <w:t>107892/2025</w:t>
            </w:r>
          </w:p>
        </w:tc>
      </w:tr>
      <w:tr w:rsidR="0087596C" w:rsidRPr="00730A41" w14:paraId="284E0C64" w14:textId="77777777" w:rsidTr="005467B8">
        <w:tc>
          <w:tcPr>
            <w:tcW w:w="1384" w:type="dxa"/>
            <w:shd w:val="clear" w:color="auto" w:fill="auto"/>
          </w:tcPr>
          <w:p w14:paraId="7E4524F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814A3" w14:textId="2BA4F6AA" w:rsidR="00394DC7" w:rsidRPr="004E4FA9" w:rsidRDefault="0045647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42C834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6AB47735" w14:textId="7404E1FC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8038A3">
              <w:rPr>
                <w:rFonts w:ascii="Times New Roman" w:hAnsi="Times New Roman"/>
              </w:rPr>
              <w:t>select</w:t>
            </w:r>
            <w:proofErr w:type="spellEnd"/>
            <w:r w:rsidR="008038A3">
              <w:rPr>
                <w:rFonts w:ascii="Times New Roman" w:hAnsi="Times New Roman"/>
              </w:rPr>
              <w:t xml:space="preserve"> super</w:t>
            </w:r>
          </w:p>
        </w:tc>
      </w:tr>
      <w:tr w:rsidR="0087596C" w:rsidRPr="00730A41" w14:paraId="77EF2D5C" w14:textId="77777777" w:rsidTr="005467B8">
        <w:tc>
          <w:tcPr>
            <w:tcW w:w="1384" w:type="dxa"/>
            <w:shd w:val="clear" w:color="auto" w:fill="auto"/>
          </w:tcPr>
          <w:p w14:paraId="553E0D8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899CC88" w14:textId="11243352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45647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F486B1A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8419B4A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AD21767" w14:textId="77777777" w:rsidTr="0045647A">
        <w:trPr>
          <w:trHeight w:val="395"/>
        </w:trPr>
        <w:tc>
          <w:tcPr>
            <w:tcW w:w="1384" w:type="dxa"/>
            <w:shd w:val="clear" w:color="auto" w:fill="auto"/>
          </w:tcPr>
          <w:p w14:paraId="2DAC2D91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15CD2FE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117206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F431039" w14:textId="686AE251" w:rsidR="00394DC7" w:rsidRPr="00962BD2" w:rsidRDefault="0081002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10026">
              <w:rPr>
                <w:rFonts w:ascii="Times New Roman" w:hAnsi="Times New Roman"/>
              </w:rPr>
              <w:t>3</w:t>
            </w:r>
            <w:r w:rsidR="008038A3" w:rsidRPr="00810026">
              <w:rPr>
                <w:rFonts w:ascii="Times New Roman" w:hAnsi="Times New Roman"/>
              </w:rPr>
              <w:t xml:space="preserve">. </w:t>
            </w:r>
            <w:r w:rsidR="0045647A" w:rsidRPr="00810026">
              <w:rPr>
                <w:rFonts w:ascii="Times New Roman" w:hAnsi="Times New Roman"/>
              </w:rPr>
              <w:t xml:space="preserve">července </w:t>
            </w:r>
            <w:r w:rsidR="008038A3" w:rsidRPr="00810026">
              <w:rPr>
                <w:rFonts w:ascii="Times New Roman" w:hAnsi="Times New Roman"/>
              </w:rPr>
              <w:t>202</w:t>
            </w:r>
            <w:r w:rsidR="0045647A" w:rsidRPr="00810026">
              <w:rPr>
                <w:rFonts w:ascii="Times New Roman" w:hAnsi="Times New Roman"/>
              </w:rPr>
              <w:t>5</w:t>
            </w:r>
          </w:p>
        </w:tc>
      </w:tr>
    </w:tbl>
    <w:p w14:paraId="08D882D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7520435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1C3C375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7E2E468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549FF4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598937AB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2987C5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A5294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24ED295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4F165AF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1BD6D653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BE8E946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149E1F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A6EC22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8038A3">
        <w:rPr>
          <w:rFonts w:ascii="Times New Roman" w:hAnsi="Times New Roman"/>
          <w:b/>
          <w:bCs/>
          <w:sz w:val="28"/>
          <w:szCs w:val="28"/>
        </w:rPr>
        <w:t>SELECT SUPER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8038A3">
        <w:rPr>
          <w:rFonts w:ascii="Times New Roman" w:hAnsi="Times New Roman"/>
          <w:b/>
          <w:iCs/>
          <w:sz w:val="28"/>
          <w:szCs w:val="28"/>
        </w:rPr>
        <w:t>4903-0</w:t>
      </w:r>
    </w:p>
    <w:p w14:paraId="261A606E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CF219C6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4ED3BB83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CD70B9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6A44C6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1EDD120F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611F80" w14:textId="0692F499" w:rsidR="00EA0A53" w:rsidRPr="0045647A" w:rsidRDefault="00934311" w:rsidP="0066032F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45647A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45647A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45647A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  <w:r w:rsidR="00D97BA7" w:rsidRPr="0045647A">
        <w:rPr>
          <w:rFonts w:ascii="Times New Roman" w:hAnsi="Times New Roman"/>
        </w:rPr>
        <w:t xml:space="preserve">  </w:t>
      </w:r>
    </w:p>
    <w:tbl>
      <w:tblPr>
        <w:tblW w:w="508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1835"/>
        <w:gridCol w:w="1305"/>
        <w:gridCol w:w="580"/>
        <w:gridCol w:w="1955"/>
        <w:gridCol w:w="1697"/>
      </w:tblGrid>
      <w:tr w:rsidR="00EA0A53" w:rsidRPr="00EA0A53" w14:paraId="5DE28A73" w14:textId="77777777" w:rsidTr="00A12DE2">
        <w:tc>
          <w:tcPr>
            <w:tcW w:w="995" w:type="pct"/>
          </w:tcPr>
          <w:p w14:paraId="4B0238FB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97" w:type="pct"/>
          </w:tcPr>
          <w:p w14:paraId="2F50D9F7" w14:textId="77777777" w:rsidR="00EA0A53" w:rsidRPr="002336CD" w:rsidRDefault="00EA0A53" w:rsidP="008F51AD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9" w:type="pct"/>
          </w:tcPr>
          <w:p w14:paraId="4BC697F8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15" w:type="pct"/>
          </w:tcPr>
          <w:p w14:paraId="1CC0EAA0" w14:textId="77777777" w:rsidR="00EA0A53" w:rsidRPr="002336CD" w:rsidRDefault="00EA0A53" w:rsidP="008F51AD">
            <w:pPr>
              <w:keepNext/>
              <w:spacing w:after="0"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062" w:type="pct"/>
          </w:tcPr>
          <w:p w14:paraId="2FF5B453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0139079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99A2DE7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ADFB661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22" w:type="pct"/>
          </w:tcPr>
          <w:p w14:paraId="7364AF53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78A6F62A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83EA291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55EF7183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A53" w:rsidRPr="00EA0A53" w14:paraId="6EA99E25" w14:textId="77777777" w:rsidTr="00A12DE2">
        <w:tc>
          <w:tcPr>
            <w:tcW w:w="995" w:type="pct"/>
          </w:tcPr>
          <w:p w14:paraId="56E65224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997" w:type="pct"/>
          </w:tcPr>
          <w:p w14:paraId="5CEA0C4A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plevele </w:t>
            </w:r>
            <w:proofErr w:type="gramStart"/>
            <w:r w:rsidRPr="002336CD">
              <w:rPr>
                <w:rFonts w:ascii="Times New Roman" w:hAnsi="Times New Roman"/>
                <w:sz w:val="24"/>
                <w:szCs w:val="24"/>
              </w:rPr>
              <w:t>jednoděložné  jednoleté</w:t>
            </w:r>
            <w:proofErr w:type="gramEnd"/>
          </w:p>
        </w:tc>
        <w:tc>
          <w:tcPr>
            <w:tcW w:w="709" w:type="pct"/>
          </w:tcPr>
          <w:p w14:paraId="19E64B3A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32E0A977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6FD21950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32 BBCH </w:t>
            </w:r>
          </w:p>
          <w:p w14:paraId="6A21FF28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35468D5B" w14:textId="51A3FAB1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A0A53" w:rsidRPr="00EA0A53" w14:paraId="67A8AF38" w14:textId="77777777" w:rsidTr="00A12DE2">
        <w:tc>
          <w:tcPr>
            <w:tcW w:w="995" w:type="pct"/>
          </w:tcPr>
          <w:p w14:paraId="7C24D338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lastRenderedPageBreak/>
              <w:t>len setý</w:t>
            </w:r>
          </w:p>
        </w:tc>
        <w:tc>
          <w:tcPr>
            <w:tcW w:w="997" w:type="pct"/>
          </w:tcPr>
          <w:p w14:paraId="2BC80D32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pýr plazivý</w:t>
            </w:r>
          </w:p>
        </w:tc>
        <w:tc>
          <w:tcPr>
            <w:tcW w:w="709" w:type="pct"/>
          </w:tcPr>
          <w:p w14:paraId="34AF08C3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315" w:type="pct"/>
          </w:tcPr>
          <w:p w14:paraId="39EFF343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455423B0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32 BBCH </w:t>
            </w:r>
          </w:p>
          <w:p w14:paraId="47E9E251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729C0CEC" w14:textId="399654D4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A0A53" w:rsidRPr="00EA0A53" w14:paraId="1495D75A" w14:textId="77777777" w:rsidTr="00A12DE2">
        <w:tc>
          <w:tcPr>
            <w:tcW w:w="995" w:type="pct"/>
          </w:tcPr>
          <w:p w14:paraId="4D56F05A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hořčice </w:t>
            </w:r>
            <w:proofErr w:type="spellStart"/>
            <w:r w:rsidRPr="002336CD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997" w:type="pct"/>
          </w:tcPr>
          <w:p w14:paraId="1B4F93F3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plevele </w:t>
            </w:r>
            <w:proofErr w:type="gramStart"/>
            <w:r w:rsidRPr="002336CD">
              <w:rPr>
                <w:rFonts w:ascii="Times New Roman" w:hAnsi="Times New Roman"/>
                <w:sz w:val="24"/>
                <w:szCs w:val="24"/>
              </w:rPr>
              <w:t>jednoděložné  jednoleté</w:t>
            </w:r>
            <w:proofErr w:type="gramEnd"/>
          </w:p>
        </w:tc>
        <w:tc>
          <w:tcPr>
            <w:tcW w:w="709" w:type="pct"/>
          </w:tcPr>
          <w:p w14:paraId="56EB904A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260B5DDF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1D1CF893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7B78DA98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6666E616" w14:textId="722A3E25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A0A53" w:rsidRPr="00EA0A53" w14:paraId="04105AD4" w14:textId="77777777" w:rsidTr="00A12DE2">
        <w:tc>
          <w:tcPr>
            <w:tcW w:w="995" w:type="pct"/>
          </w:tcPr>
          <w:p w14:paraId="537346C0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hořčice </w:t>
            </w:r>
            <w:proofErr w:type="spellStart"/>
            <w:r w:rsidRPr="002336CD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997" w:type="pct"/>
          </w:tcPr>
          <w:p w14:paraId="086E104A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pýr plazivý</w:t>
            </w:r>
          </w:p>
        </w:tc>
        <w:tc>
          <w:tcPr>
            <w:tcW w:w="709" w:type="pct"/>
          </w:tcPr>
          <w:p w14:paraId="0173A6E0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315" w:type="pct"/>
          </w:tcPr>
          <w:p w14:paraId="4CD5977F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3921BEDA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</w:t>
            </w:r>
          </w:p>
          <w:p w14:paraId="5EA37CB9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40F4A2A5" w14:textId="7F07E91B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A0A53" w:rsidRPr="00EA0A53" w14:paraId="1A9BBACA" w14:textId="77777777" w:rsidTr="00A12DE2">
        <w:tc>
          <w:tcPr>
            <w:tcW w:w="995" w:type="pct"/>
          </w:tcPr>
          <w:p w14:paraId="0279240D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97" w:type="pct"/>
          </w:tcPr>
          <w:p w14:paraId="7C68C090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plevele </w:t>
            </w:r>
            <w:proofErr w:type="gramStart"/>
            <w:r w:rsidRPr="002336CD">
              <w:rPr>
                <w:rFonts w:ascii="Times New Roman" w:hAnsi="Times New Roman"/>
                <w:sz w:val="24"/>
                <w:szCs w:val="24"/>
              </w:rPr>
              <w:t>jednoděložné  jednoleté</w:t>
            </w:r>
            <w:proofErr w:type="gramEnd"/>
          </w:p>
        </w:tc>
        <w:tc>
          <w:tcPr>
            <w:tcW w:w="709" w:type="pct"/>
          </w:tcPr>
          <w:p w14:paraId="59B05D35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5DF4A5A0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0D82D022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</w:t>
            </w:r>
          </w:p>
          <w:p w14:paraId="6E775621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2) od: 12 BBCH, do: 31 BBCH </w:t>
            </w:r>
          </w:p>
        </w:tc>
        <w:tc>
          <w:tcPr>
            <w:tcW w:w="922" w:type="pct"/>
          </w:tcPr>
          <w:p w14:paraId="42D72255" w14:textId="77777777" w:rsidR="008F51A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  <w:r w:rsidR="00EA0A53" w:rsidRPr="00233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302F83" w14:textId="599EF984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6) všechna určení mimo výživu lidí </w:t>
            </w:r>
          </w:p>
        </w:tc>
      </w:tr>
      <w:tr w:rsidR="00EA0A53" w:rsidRPr="00EA0A53" w14:paraId="6C1A6469" w14:textId="77777777" w:rsidTr="00A12DE2">
        <w:tc>
          <w:tcPr>
            <w:tcW w:w="995" w:type="pct"/>
          </w:tcPr>
          <w:p w14:paraId="63599725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kmín kořenný</w:t>
            </w:r>
          </w:p>
        </w:tc>
        <w:tc>
          <w:tcPr>
            <w:tcW w:w="997" w:type="pct"/>
          </w:tcPr>
          <w:p w14:paraId="7F085661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pýr plazivý</w:t>
            </w:r>
          </w:p>
        </w:tc>
        <w:tc>
          <w:tcPr>
            <w:tcW w:w="709" w:type="pct"/>
          </w:tcPr>
          <w:p w14:paraId="7DE6D5AC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315" w:type="pct"/>
          </w:tcPr>
          <w:p w14:paraId="1BA0333A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6BDA08C4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268F3919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6B5A046C" w14:textId="77777777" w:rsidR="008F51A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  <w:r w:rsidR="00EA0A53" w:rsidRPr="00233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8E2B27" w14:textId="524CE780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6) všechna určení mimo výživu lidí </w:t>
            </w:r>
          </w:p>
        </w:tc>
      </w:tr>
      <w:tr w:rsidR="00EA0A53" w:rsidRPr="00EA0A53" w14:paraId="04417842" w14:textId="77777777" w:rsidTr="00A12DE2">
        <w:tc>
          <w:tcPr>
            <w:tcW w:w="995" w:type="pct"/>
          </w:tcPr>
          <w:p w14:paraId="4B8B09E7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lupina bílá, lupina modrá</w:t>
            </w:r>
          </w:p>
        </w:tc>
        <w:tc>
          <w:tcPr>
            <w:tcW w:w="997" w:type="pct"/>
          </w:tcPr>
          <w:p w14:paraId="3007C334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plevele </w:t>
            </w:r>
            <w:proofErr w:type="gramStart"/>
            <w:r w:rsidRPr="002336CD">
              <w:rPr>
                <w:rFonts w:ascii="Times New Roman" w:hAnsi="Times New Roman"/>
                <w:sz w:val="24"/>
                <w:szCs w:val="24"/>
              </w:rPr>
              <w:t>jednoděložné  jednoleté</w:t>
            </w:r>
            <w:proofErr w:type="gramEnd"/>
          </w:p>
        </w:tc>
        <w:tc>
          <w:tcPr>
            <w:tcW w:w="709" w:type="pct"/>
          </w:tcPr>
          <w:p w14:paraId="34D86507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6CA88DCA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19546CD4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56DFD0F7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7FBB2666" w14:textId="77777777" w:rsidR="008F51A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  <w:r w:rsidR="00EA0A53" w:rsidRPr="00233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60664D" w14:textId="776884CA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6) všechna určení mimo výživu lidí a zvířat</w:t>
            </w:r>
          </w:p>
        </w:tc>
      </w:tr>
      <w:tr w:rsidR="00EA0A53" w:rsidRPr="00EA0A53" w14:paraId="43C00B00" w14:textId="77777777" w:rsidTr="00A12DE2">
        <w:tc>
          <w:tcPr>
            <w:tcW w:w="995" w:type="pct"/>
          </w:tcPr>
          <w:p w14:paraId="5EAF3F1C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lupina bílá, lupina modrá</w:t>
            </w:r>
          </w:p>
        </w:tc>
        <w:tc>
          <w:tcPr>
            <w:tcW w:w="997" w:type="pct"/>
          </w:tcPr>
          <w:p w14:paraId="04150BCA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pýr plazivý</w:t>
            </w:r>
          </w:p>
        </w:tc>
        <w:tc>
          <w:tcPr>
            <w:tcW w:w="709" w:type="pct"/>
          </w:tcPr>
          <w:p w14:paraId="3671E61A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315" w:type="pct"/>
          </w:tcPr>
          <w:p w14:paraId="4A95433E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5B418C85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7CB8B2D7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77DB7D94" w14:textId="77777777" w:rsidR="008F51A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  <w:r w:rsidR="00EA0A53" w:rsidRPr="00233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B1CADB" w14:textId="49BD2259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6) všechna určení mimo výživu lidí a zvířat</w:t>
            </w:r>
          </w:p>
        </w:tc>
      </w:tr>
      <w:tr w:rsidR="00EA0A53" w:rsidRPr="00EA0A53" w14:paraId="0BFA880C" w14:textId="77777777" w:rsidTr="00A12DE2">
        <w:tc>
          <w:tcPr>
            <w:tcW w:w="995" w:type="pct"/>
          </w:tcPr>
          <w:p w14:paraId="3972D7DE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997" w:type="pct"/>
          </w:tcPr>
          <w:p w14:paraId="05D02376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plevele </w:t>
            </w:r>
            <w:proofErr w:type="gramStart"/>
            <w:r w:rsidRPr="002336CD">
              <w:rPr>
                <w:rFonts w:ascii="Times New Roman" w:hAnsi="Times New Roman"/>
                <w:sz w:val="24"/>
                <w:szCs w:val="24"/>
              </w:rPr>
              <w:t>jednoděložné  jednoleté</w:t>
            </w:r>
            <w:proofErr w:type="gramEnd"/>
          </w:p>
        </w:tc>
        <w:tc>
          <w:tcPr>
            <w:tcW w:w="709" w:type="pct"/>
          </w:tcPr>
          <w:p w14:paraId="1CED281B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51285D2A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148AE76E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2FDD3244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53DE233C" w14:textId="0C7FBD67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A0A53" w:rsidRPr="00EA0A53" w14:paraId="52B402BA" w14:textId="77777777" w:rsidTr="00A12DE2">
        <w:trPr>
          <w:trHeight w:val="57"/>
        </w:trPr>
        <w:tc>
          <w:tcPr>
            <w:tcW w:w="995" w:type="pct"/>
          </w:tcPr>
          <w:p w14:paraId="2541E045" w14:textId="77777777" w:rsidR="00EA0A53" w:rsidRPr="002336CD" w:rsidRDefault="00EA0A53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ostropestřec mariánský</w:t>
            </w:r>
          </w:p>
        </w:tc>
        <w:tc>
          <w:tcPr>
            <w:tcW w:w="997" w:type="pct"/>
          </w:tcPr>
          <w:p w14:paraId="6B457B79" w14:textId="77777777" w:rsidR="00EA0A53" w:rsidRPr="002336CD" w:rsidRDefault="00EA0A53" w:rsidP="008F51AD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pýr plazivý</w:t>
            </w:r>
          </w:p>
        </w:tc>
        <w:tc>
          <w:tcPr>
            <w:tcW w:w="709" w:type="pct"/>
          </w:tcPr>
          <w:p w14:paraId="639ECAF0" w14:textId="77777777" w:rsidR="00EA0A53" w:rsidRPr="002336CD" w:rsidRDefault="00EA0A53" w:rsidP="008F51AD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>2 l/ha</w:t>
            </w:r>
          </w:p>
        </w:tc>
        <w:tc>
          <w:tcPr>
            <w:tcW w:w="315" w:type="pct"/>
          </w:tcPr>
          <w:p w14:paraId="5DDC4E4D" w14:textId="77777777" w:rsidR="00EA0A53" w:rsidRPr="002336CD" w:rsidRDefault="00EA0A53" w:rsidP="008F51AD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A5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67B4B623" w14:textId="77777777" w:rsidR="00EA0A53" w:rsidRPr="00EA0A53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 1) od: 12 BBCH, do: 31 BBCH </w:t>
            </w:r>
          </w:p>
          <w:p w14:paraId="1ABC5893" w14:textId="77777777" w:rsidR="00EA0A53" w:rsidRPr="002336CD" w:rsidRDefault="00EA0A53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36CD">
              <w:rPr>
                <w:rFonts w:ascii="Times New Roman" w:hAnsi="Times New Roman"/>
                <w:sz w:val="24"/>
                <w:szCs w:val="24"/>
              </w:rPr>
              <w:t xml:space="preserve">2) od: 12 BBCH, do: 31 BBCH </w:t>
            </w:r>
          </w:p>
        </w:tc>
        <w:tc>
          <w:tcPr>
            <w:tcW w:w="922" w:type="pct"/>
          </w:tcPr>
          <w:p w14:paraId="469EBC8B" w14:textId="5F78DBB4" w:rsidR="00EA0A53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8F51AD" w:rsidRPr="008F51AD" w14:paraId="081CE9D3" w14:textId="77777777" w:rsidTr="00A12DE2">
        <w:trPr>
          <w:trHeight w:val="57"/>
        </w:trPr>
        <w:tc>
          <w:tcPr>
            <w:tcW w:w="995" w:type="pct"/>
          </w:tcPr>
          <w:p w14:paraId="25701119" w14:textId="36E44770" w:rsidR="008F51AD" w:rsidRPr="002336CD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pohanka</w:t>
            </w:r>
          </w:p>
        </w:tc>
        <w:tc>
          <w:tcPr>
            <w:tcW w:w="997" w:type="pct"/>
          </w:tcPr>
          <w:p w14:paraId="574CB4D6" w14:textId="6E957085" w:rsidR="008F51AD" w:rsidRPr="002336CD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plevele jednoděložné jednoleté</w:t>
            </w:r>
          </w:p>
        </w:tc>
        <w:tc>
          <w:tcPr>
            <w:tcW w:w="709" w:type="pct"/>
          </w:tcPr>
          <w:p w14:paraId="34C25DE5" w14:textId="760AA08A" w:rsidR="008F51AD" w:rsidRPr="002336CD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315" w:type="pct"/>
          </w:tcPr>
          <w:p w14:paraId="1F98E01A" w14:textId="0155D0B8" w:rsidR="008F51AD" w:rsidRPr="00EA0A53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62" w:type="pct"/>
          </w:tcPr>
          <w:p w14:paraId="46DA0AFB" w14:textId="2907293A" w:rsidR="008F51AD" w:rsidRPr="002336CD" w:rsidRDefault="008F51AD" w:rsidP="008F5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 xml:space="preserve">1) od: 13 BBCH, do: 15 BBCH </w:t>
            </w:r>
          </w:p>
        </w:tc>
        <w:tc>
          <w:tcPr>
            <w:tcW w:w="922" w:type="pct"/>
          </w:tcPr>
          <w:p w14:paraId="12C560DA" w14:textId="77777777" w:rsidR="008F51AD" w:rsidRPr="008F51AD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35E4083D" w14:textId="39214950" w:rsidR="008F51AD" w:rsidRPr="002336CD" w:rsidRDefault="008F51AD" w:rsidP="008F51AD">
            <w:pPr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F51AD">
              <w:rPr>
                <w:rFonts w:ascii="Times New Roman" w:hAnsi="Times New Roman"/>
                <w:sz w:val="24"/>
                <w:szCs w:val="24"/>
              </w:rPr>
              <w:t>6) množitelské porosty</w:t>
            </w:r>
          </w:p>
        </w:tc>
      </w:tr>
    </w:tbl>
    <w:p w14:paraId="5ED9786E" w14:textId="77777777" w:rsidR="00EA0A53" w:rsidRDefault="00EA0A53" w:rsidP="00442B40">
      <w:pPr>
        <w:pStyle w:val="Bezmezer"/>
        <w:spacing w:line="276" w:lineRule="auto"/>
        <w:rPr>
          <w:rFonts w:ascii="Times New Roman" w:hAnsi="Times New Roman"/>
        </w:rPr>
      </w:pPr>
    </w:p>
    <w:p w14:paraId="57EDEC27" w14:textId="77777777" w:rsidR="00D97BA7" w:rsidRPr="00EA0A53" w:rsidRDefault="00EA0A53" w:rsidP="00442B40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EA0A53">
        <w:rPr>
          <w:rFonts w:ascii="Times New Roman" w:hAnsi="Times New Roman"/>
          <w:sz w:val="24"/>
          <w:szCs w:val="24"/>
        </w:rPr>
        <w:t xml:space="preserve">AT - </w:t>
      </w:r>
      <w:r w:rsidR="00D97BA7" w:rsidRPr="00EA0A53">
        <w:rPr>
          <w:rFonts w:ascii="Times New Roman" w:hAnsi="Times New Roman"/>
          <w:sz w:val="24"/>
          <w:szCs w:val="24"/>
        </w:rPr>
        <w:t>ochranná</w:t>
      </w:r>
      <w:proofErr w:type="gramEnd"/>
      <w:r w:rsidR="00D97BA7" w:rsidRPr="00EA0A53">
        <w:rPr>
          <w:rFonts w:ascii="Times New Roman" w:hAnsi="Times New Roman"/>
          <w:sz w:val="24"/>
          <w:szCs w:val="24"/>
        </w:rPr>
        <w:t xml:space="preserve"> lhůta je </w:t>
      </w:r>
      <w:r w:rsidRPr="00EA0A53">
        <w:rPr>
          <w:rFonts w:ascii="Times New Roman" w:hAnsi="Times New Roman"/>
          <w:sz w:val="24"/>
          <w:szCs w:val="24"/>
        </w:rPr>
        <w:t xml:space="preserve">dána odstupem mezi termínem poslední aplikace a sklizní  </w:t>
      </w:r>
    </w:p>
    <w:p w14:paraId="5D8965FD" w14:textId="77777777" w:rsidR="00524C79" w:rsidRPr="00EA0A53" w:rsidRDefault="00524C79" w:rsidP="00D97BA7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1"/>
        <w:tblW w:w="5000" w:type="pct"/>
        <w:tblInd w:w="0" w:type="dxa"/>
        <w:tblLook w:val="01E0" w:firstRow="1" w:lastRow="1" w:firstColumn="1" w:lastColumn="1" w:noHBand="0" w:noVBand="0"/>
      </w:tblPr>
      <w:tblGrid>
        <w:gridCol w:w="3634"/>
        <w:gridCol w:w="1789"/>
        <w:gridCol w:w="1789"/>
        <w:gridCol w:w="1848"/>
      </w:tblGrid>
      <w:tr w:rsidR="00EA0A53" w:rsidRPr="002336CD" w14:paraId="438B21A6" w14:textId="77777777" w:rsidTr="00C660E8">
        <w:tc>
          <w:tcPr>
            <w:tcW w:w="2005" w:type="pct"/>
          </w:tcPr>
          <w:p w14:paraId="7B1A823C" w14:textId="77777777" w:rsidR="00EA0A53" w:rsidRPr="002336CD" w:rsidRDefault="00EA0A53" w:rsidP="006712BA">
            <w:pPr>
              <w:keepNext/>
              <w:ind w:left="0"/>
              <w:rPr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987" w:type="pct"/>
          </w:tcPr>
          <w:p w14:paraId="43032425" w14:textId="77777777" w:rsidR="00EA0A53" w:rsidRPr="002336CD" w:rsidRDefault="00EA0A53" w:rsidP="006712BA">
            <w:pPr>
              <w:keepNext/>
              <w:ind w:left="34" w:hanging="34"/>
              <w:rPr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Dávka vody</w:t>
            </w:r>
          </w:p>
        </w:tc>
        <w:tc>
          <w:tcPr>
            <w:tcW w:w="987" w:type="pct"/>
          </w:tcPr>
          <w:p w14:paraId="6A8E6C17" w14:textId="77777777" w:rsidR="00EA0A53" w:rsidRPr="002336CD" w:rsidRDefault="00EA0A53" w:rsidP="006712BA">
            <w:pPr>
              <w:keepNext/>
              <w:ind w:left="34" w:hanging="34"/>
              <w:rPr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Způsob aplikace</w:t>
            </w:r>
          </w:p>
        </w:tc>
        <w:tc>
          <w:tcPr>
            <w:tcW w:w="1020" w:type="pct"/>
          </w:tcPr>
          <w:p w14:paraId="74D5A796" w14:textId="77777777" w:rsidR="00EA0A53" w:rsidRPr="002336CD" w:rsidRDefault="00EA0A53" w:rsidP="006712BA">
            <w:pPr>
              <w:keepNext/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Max. počet aplikací v plodině</w:t>
            </w:r>
          </w:p>
        </w:tc>
      </w:tr>
      <w:tr w:rsidR="00EA0A53" w:rsidRPr="002336CD" w14:paraId="26EA2D17" w14:textId="77777777" w:rsidTr="00C660E8">
        <w:tc>
          <w:tcPr>
            <w:tcW w:w="2005" w:type="pct"/>
          </w:tcPr>
          <w:p w14:paraId="4B96B665" w14:textId="4A531300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 xml:space="preserve">hořčice </w:t>
            </w:r>
            <w:proofErr w:type="spellStart"/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sareptská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kmín kořenný, lupina</w:t>
            </w:r>
            <w:r w:rsidR="00E1018A">
              <w:rPr>
                <w:rFonts w:ascii="Times New Roman" w:hAnsi="Times New Roman" w:cs="Times New Roman"/>
                <w:sz w:val="24"/>
                <w:szCs w:val="24"/>
              </w:rPr>
              <w:t xml:space="preserve"> bílá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018A">
              <w:rPr>
                <w:rFonts w:ascii="Times New Roman" w:hAnsi="Times New Roman" w:cs="Times New Roman"/>
                <w:sz w:val="24"/>
                <w:szCs w:val="24"/>
              </w:rPr>
              <w:t xml:space="preserve">lupina modrá,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ostropes</w:t>
            </w:r>
            <w:r w:rsidR="00E101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řec mariánský</w:t>
            </w:r>
            <w:r w:rsidR="008F51AD">
              <w:rPr>
                <w:rFonts w:ascii="Times New Roman" w:hAnsi="Times New Roman" w:cs="Times New Roman"/>
                <w:sz w:val="24"/>
                <w:szCs w:val="24"/>
              </w:rPr>
              <w:t>, pohanka</w:t>
            </w:r>
          </w:p>
        </w:tc>
        <w:tc>
          <w:tcPr>
            <w:tcW w:w="987" w:type="pct"/>
          </w:tcPr>
          <w:p w14:paraId="6FE01967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 xml:space="preserve"> 200-300 l/ha</w:t>
            </w:r>
          </w:p>
        </w:tc>
        <w:tc>
          <w:tcPr>
            <w:tcW w:w="987" w:type="pct"/>
          </w:tcPr>
          <w:p w14:paraId="033B8706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1DB7955F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 xml:space="preserve">  1x</w:t>
            </w:r>
          </w:p>
        </w:tc>
      </w:tr>
      <w:tr w:rsidR="00EA0A53" w:rsidRPr="002336CD" w14:paraId="13E38FA4" w14:textId="77777777" w:rsidTr="00C660E8">
        <w:tc>
          <w:tcPr>
            <w:tcW w:w="2005" w:type="pct"/>
          </w:tcPr>
          <w:p w14:paraId="00D09218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len setý</w:t>
            </w:r>
          </w:p>
        </w:tc>
        <w:tc>
          <w:tcPr>
            <w:tcW w:w="987" w:type="pct"/>
          </w:tcPr>
          <w:p w14:paraId="5C8141D0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987" w:type="pct"/>
          </w:tcPr>
          <w:p w14:paraId="65C6B103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1281AD57" w14:textId="77777777" w:rsidR="00EA0A53" w:rsidRPr="002336CD" w:rsidRDefault="00EA0A53" w:rsidP="006712BA">
            <w:pPr>
              <w:spacing w:before="40" w:after="40"/>
              <w:ind w:left="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6CD">
              <w:rPr>
                <w:rFonts w:ascii="Times New Roman" w:hAnsi="Times New Roman" w:cs="Times New Roman"/>
                <w:sz w:val="24"/>
                <w:szCs w:val="24"/>
              </w:rPr>
              <w:t xml:space="preserve">  1x</w:t>
            </w:r>
          </w:p>
        </w:tc>
      </w:tr>
    </w:tbl>
    <w:p w14:paraId="1C0A406D" w14:textId="77777777" w:rsidR="00EA0A53" w:rsidRDefault="00EA0A53" w:rsidP="003A0419">
      <w:pPr>
        <w:pStyle w:val="Bezmezer"/>
        <w:spacing w:line="276" w:lineRule="auto"/>
        <w:rPr>
          <w:rFonts w:ascii="Times New Roman" w:hAnsi="Times New Roman"/>
        </w:rPr>
      </w:pPr>
    </w:p>
    <w:p w14:paraId="799BEF1B" w14:textId="77777777" w:rsidR="00EA0A53" w:rsidRPr="00EA0A53" w:rsidRDefault="00EA0A53" w:rsidP="00EA0A53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A0A53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2"/>
        <w:gridCol w:w="1281"/>
        <w:gridCol w:w="1270"/>
        <w:gridCol w:w="9"/>
        <w:gridCol w:w="1270"/>
        <w:gridCol w:w="1277"/>
      </w:tblGrid>
      <w:tr w:rsidR="0045647A" w:rsidRPr="00EA0A53" w14:paraId="7D2A15F3" w14:textId="77777777" w:rsidTr="0045647A">
        <w:trPr>
          <w:trHeight w:val="220"/>
          <w:jc w:val="center"/>
        </w:trPr>
        <w:tc>
          <w:tcPr>
            <w:tcW w:w="2185" w:type="pct"/>
            <w:vMerge w:val="restart"/>
            <w:shd w:val="clear" w:color="auto" w:fill="FFFFFF"/>
            <w:vAlign w:val="center"/>
          </w:tcPr>
          <w:p w14:paraId="3BA89ECC" w14:textId="5DC77B7E" w:rsidR="0045647A" w:rsidRPr="00EA0A53" w:rsidRDefault="0045647A" w:rsidP="00EA0A53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815" w:type="pct"/>
            <w:gridSpan w:val="5"/>
            <w:vAlign w:val="center"/>
          </w:tcPr>
          <w:p w14:paraId="33CA9104" w14:textId="456F7429" w:rsidR="0045647A" w:rsidRPr="00EA0A53" w:rsidRDefault="0045647A" w:rsidP="0045647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45647A" w:rsidRPr="00EA0A53" w14:paraId="12CB8543" w14:textId="77777777" w:rsidTr="0045647A">
        <w:trPr>
          <w:trHeight w:val="220"/>
          <w:jc w:val="center"/>
        </w:trPr>
        <w:tc>
          <w:tcPr>
            <w:tcW w:w="2185" w:type="pct"/>
            <w:vMerge/>
            <w:shd w:val="clear" w:color="auto" w:fill="FFFFFF"/>
            <w:vAlign w:val="center"/>
          </w:tcPr>
          <w:p w14:paraId="6E30D87D" w14:textId="5068C12B" w:rsidR="0045647A" w:rsidRPr="00EA0A53" w:rsidRDefault="0045647A" w:rsidP="00EA0A53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6" w:type="pct"/>
            <w:vAlign w:val="center"/>
          </w:tcPr>
          <w:p w14:paraId="62EE3303" w14:textId="2988DBD9" w:rsidR="0045647A" w:rsidRPr="00EA0A53" w:rsidRDefault="0045647A" w:rsidP="0045647A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705" w:type="pct"/>
            <w:gridSpan w:val="2"/>
            <w:vAlign w:val="center"/>
          </w:tcPr>
          <w:p w14:paraId="7FE88CE3" w14:textId="0266EF06" w:rsidR="0045647A" w:rsidRPr="00EA0A53" w:rsidRDefault="0045647A" w:rsidP="0045647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00" w:type="pct"/>
            <w:vAlign w:val="center"/>
          </w:tcPr>
          <w:p w14:paraId="03F63234" w14:textId="77777777" w:rsidR="0045647A" w:rsidRPr="00EA0A53" w:rsidRDefault="0045647A" w:rsidP="0045647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05" w:type="pct"/>
            <w:vAlign w:val="center"/>
          </w:tcPr>
          <w:p w14:paraId="299D4E24" w14:textId="41EC6ED4" w:rsidR="0045647A" w:rsidRPr="00EA0A53" w:rsidRDefault="0045647A" w:rsidP="0045647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90 %</w:t>
            </w:r>
          </w:p>
        </w:tc>
      </w:tr>
      <w:tr w:rsidR="00EA0A53" w:rsidRPr="00EA0A53" w14:paraId="0F76853E" w14:textId="77777777" w:rsidTr="0045647A">
        <w:trPr>
          <w:trHeight w:val="275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24C40813" w14:textId="77777777" w:rsidR="00EA0A53" w:rsidRPr="00EA0A53" w:rsidRDefault="00EA0A53" w:rsidP="0045647A">
            <w:pPr>
              <w:spacing w:after="0"/>
              <w:ind w:right="4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45647A" w:rsidRPr="00EA0A53" w14:paraId="5C951878" w14:textId="77777777" w:rsidTr="0045647A">
        <w:trPr>
          <w:trHeight w:val="275"/>
          <w:jc w:val="center"/>
        </w:trPr>
        <w:tc>
          <w:tcPr>
            <w:tcW w:w="2185" w:type="pct"/>
            <w:shd w:val="clear" w:color="auto" w:fill="FFFFFF"/>
            <w:vAlign w:val="center"/>
          </w:tcPr>
          <w:p w14:paraId="50E241D0" w14:textId="1A445AF9" w:rsidR="00EA0A53" w:rsidRPr="00EA0A53" w:rsidRDefault="0045647A" w:rsidP="00EA0A53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="00EA0A53"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en setý, kmín kořenný, hořčice </w:t>
            </w:r>
            <w:proofErr w:type="spellStart"/>
            <w:r w:rsidR="00EA0A53"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sareptská</w:t>
            </w:r>
            <w:proofErr w:type="spellEnd"/>
            <w:r w:rsidR="00EA0A53"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lupina bílá, lupina modrá, ostropestřec mariánský</w:t>
            </w:r>
            <w:r w:rsidR="004F351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pohanka</w:t>
            </w:r>
          </w:p>
        </w:tc>
        <w:tc>
          <w:tcPr>
            <w:tcW w:w="706" w:type="pct"/>
            <w:vAlign w:val="center"/>
          </w:tcPr>
          <w:p w14:paraId="13039B70" w14:textId="77777777" w:rsidR="00EA0A53" w:rsidRPr="00EA0A53" w:rsidRDefault="00EA0A53" w:rsidP="00C660E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00" w:type="pct"/>
            <w:vAlign w:val="center"/>
          </w:tcPr>
          <w:p w14:paraId="0C6EC71F" w14:textId="77777777" w:rsidR="00EA0A53" w:rsidRPr="00EA0A53" w:rsidRDefault="00EA0A53" w:rsidP="00C660E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05" w:type="pct"/>
            <w:gridSpan w:val="2"/>
            <w:vAlign w:val="center"/>
          </w:tcPr>
          <w:p w14:paraId="10D9A2EB" w14:textId="77777777" w:rsidR="00EA0A53" w:rsidRPr="00EA0A53" w:rsidRDefault="00EA0A53" w:rsidP="00C660E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05" w:type="pct"/>
            <w:vAlign w:val="center"/>
          </w:tcPr>
          <w:p w14:paraId="084BBCC2" w14:textId="77777777" w:rsidR="00EA0A53" w:rsidRPr="00EA0A53" w:rsidRDefault="00EA0A53" w:rsidP="00C660E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A0A5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5ED8A40F" w14:textId="77777777" w:rsidR="00EA0A53" w:rsidRDefault="00EA0A53" w:rsidP="003A0419">
      <w:pPr>
        <w:pStyle w:val="Bezmezer"/>
        <w:spacing w:line="276" w:lineRule="auto"/>
        <w:rPr>
          <w:rFonts w:ascii="Times New Roman" w:hAnsi="Times New Roman"/>
        </w:rPr>
      </w:pPr>
    </w:p>
    <w:p w14:paraId="096A5402" w14:textId="77777777" w:rsidR="00861476" w:rsidRPr="00730A41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F2580E8" w14:textId="77777777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6CCF1640" w14:textId="77777777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6EFA7C6" w14:textId="77777777" w:rsidR="00524C79" w:rsidRPr="00730A41" w:rsidRDefault="00524C7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30404C9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3C387327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A67ABB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54785D4D" w14:textId="57C60B6C" w:rsidR="006005F4" w:rsidRDefault="0045647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647A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1CF96B43" w14:textId="77777777" w:rsidR="0045647A" w:rsidRPr="0098295A" w:rsidRDefault="0045647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A040D2" w14:textId="7AB5DE4F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038A3">
        <w:rPr>
          <w:rFonts w:ascii="Times New Roman" w:hAnsi="Times New Roman"/>
          <w:sz w:val="24"/>
          <w:szCs w:val="24"/>
        </w:rPr>
        <w:t>S</w:t>
      </w:r>
      <w:r w:rsidR="0045647A">
        <w:rPr>
          <w:rFonts w:ascii="Times New Roman" w:hAnsi="Times New Roman"/>
          <w:sz w:val="24"/>
          <w:szCs w:val="24"/>
        </w:rPr>
        <w:t>elect</w:t>
      </w:r>
      <w:proofErr w:type="spellEnd"/>
      <w:r w:rsidR="008038A3">
        <w:rPr>
          <w:rFonts w:ascii="Times New Roman" w:hAnsi="Times New Roman"/>
          <w:sz w:val="24"/>
          <w:szCs w:val="24"/>
        </w:rPr>
        <w:t xml:space="preserve"> S</w:t>
      </w:r>
      <w:r w:rsidR="0045647A">
        <w:rPr>
          <w:rFonts w:ascii="Times New Roman" w:hAnsi="Times New Roman"/>
          <w:sz w:val="24"/>
          <w:szCs w:val="24"/>
        </w:rPr>
        <w:t>uper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8038A3">
        <w:rPr>
          <w:rFonts w:ascii="Times New Roman" w:hAnsi="Times New Roman"/>
          <w:iCs/>
          <w:sz w:val="24"/>
          <w:szCs w:val="24"/>
        </w:rPr>
        <w:t>4903</w:t>
      </w:r>
      <w:r w:rsidR="0022662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6E376B5" w14:textId="77777777" w:rsidR="006005F4" w:rsidRPr="00EA3C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4DBCFD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645841CD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E1341C" w14:textId="1C122812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8038A3">
        <w:rPr>
          <w:rFonts w:ascii="Times New Roman" w:hAnsi="Times New Roman"/>
          <w:sz w:val="24"/>
          <w:szCs w:val="24"/>
        </w:rPr>
        <w:t>S</w:t>
      </w:r>
      <w:r w:rsidR="0045647A">
        <w:rPr>
          <w:rFonts w:ascii="Times New Roman" w:hAnsi="Times New Roman"/>
          <w:sz w:val="24"/>
          <w:szCs w:val="24"/>
        </w:rPr>
        <w:t>elect</w:t>
      </w:r>
      <w:proofErr w:type="spellEnd"/>
      <w:r w:rsidR="008038A3">
        <w:rPr>
          <w:rFonts w:ascii="Times New Roman" w:hAnsi="Times New Roman"/>
          <w:sz w:val="24"/>
          <w:szCs w:val="24"/>
        </w:rPr>
        <w:t xml:space="preserve"> S</w:t>
      </w:r>
      <w:r w:rsidR="0045647A">
        <w:rPr>
          <w:rFonts w:ascii="Times New Roman" w:hAnsi="Times New Roman"/>
          <w:sz w:val="24"/>
          <w:szCs w:val="24"/>
        </w:rPr>
        <w:t>uper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CDB3BB1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8DB524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546AF6A0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843C15" w14:textId="77777777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3A01B0F2" w14:textId="77777777" w:rsidR="00D23559" w:rsidRDefault="00D2355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886D87C" w14:textId="0CCF8059" w:rsidR="004F3517" w:rsidRDefault="004F3517" w:rsidP="004F35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82BD427" w14:textId="77777777" w:rsidR="004F3517" w:rsidRPr="00211CE4" w:rsidRDefault="004F3517" w:rsidP="004F35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6C478" w14:textId="17AF5BF5" w:rsidR="004F3517" w:rsidRPr="00455210" w:rsidRDefault="004F3517" w:rsidP="004F351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 </w:t>
      </w:r>
      <w:r w:rsidRPr="004F3517">
        <w:rPr>
          <w:rFonts w:ascii="Times New Roman" w:hAnsi="Times New Roman"/>
          <w:sz w:val="24"/>
          <w:szCs w:val="24"/>
        </w:rPr>
        <w:t>UKZUZ 011199/2021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28. 1. 2021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F132805" w14:textId="77777777" w:rsidR="00E1018A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F33464" w14:textId="77777777" w:rsidR="00E1018A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D9B73" w14:textId="77777777" w:rsidR="00E1018A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B14A52" w14:textId="77777777" w:rsidR="00E1018A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7CE077" w14:textId="77777777" w:rsidR="0074073C" w:rsidRDefault="0074073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BC034E" w14:textId="77777777" w:rsidR="0074073C" w:rsidRDefault="0074073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D7AB83" w14:textId="77777777" w:rsidR="00E1018A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DBBB2C" w14:textId="77777777" w:rsidR="00E1018A" w:rsidRPr="004F1C2F" w:rsidRDefault="00E1018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A8671E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3666EAF5" w14:textId="13FA1175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BC1E" w14:textId="77777777" w:rsidR="006724BC" w:rsidRDefault="006724BC" w:rsidP="00CE12AE">
      <w:pPr>
        <w:spacing w:after="0" w:line="240" w:lineRule="auto"/>
      </w:pPr>
      <w:r>
        <w:separator/>
      </w:r>
    </w:p>
  </w:endnote>
  <w:endnote w:type="continuationSeparator" w:id="0">
    <w:p w14:paraId="620F804B" w14:textId="77777777" w:rsidR="006724BC" w:rsidRDefault="006724B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0A21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4A7B88F3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18FE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0DE1" w14:textId="77777777" w:rsidR="006724BC" w:rsidRDefault="006724BC" w:rsidP="00CE12AE">
      <w:pPr>
        <w:spacing w:after="0" w:line="240" w:lineRule="auto"/>
      </w:pPr>
      <w:r>
        <w:separator/>
      </w:r>
    </w:p>
  </w:footnote>
  <w:footnote w:type="continuationSeparator" w:id="0">
    <w:p w14:paraId="4FDA632D" w14:textId="77777777" w:rsidR="006724BC" w:rsidRDefault="006724B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420A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E89D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EC1C809" wp14:editId="2B23E8D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464FD409" w14:textId="362EB05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45647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F862F03" w14:textId="43B8697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45647A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45647A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C68CCF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762384363">
    <w:abstractNumId w:val="8"/>
  </w:num>
  <w:num w:numId="2" w16cid:durableId="1506046596">
    <w:abstractNumId w:val="5"/>
  </w:num>
  <w:num w:numId="3" w16cid:durableId="1514032316">
    <w:abstractNumId w:val="0"/>
  </w:num>
  <w:num w:numId="4" w16cid:durableId="932393563">
    <w:abstractNumId w:val="7"/>
  </w:num>
  <w:num w:numId="5" w16cid:durableId="656768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110255">
    <w:abstractNumId w:val="4"/>
  </w:num>
  <w:num w:numId="7" w16cid:durableId="2068797927">
    <w:abstractNumId w:val="6"/>
  </w:num>
  <w:num w:numId="8" w16cid:durableId="780489252">
    <w:abstractNumId w:val="1"/>
  </w:num>
  <w:num w:numId="9" w16cid:durableId="1148472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237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07296">
    <w:abstractNumId w:val="2"/>
  </w:num>
  <w:num w:numId="12" w16cid:durableId="1687638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5683"/>
    <w:rsid w:val="000876A4"/>
    <w:rsid w:val="00093864"/>
    <w:rsid w:val="00095594"/>
    <w:rsid w:val="00096456"/>
    <w:rsid w:val="000A6138"/>
    <w:rsid w:val="000B4579"/>
    <w:rsid w:val="000C6C8C"/>
    <w:rsid w:val="000D3435"/>
    <w:rsid w:val="000D432F"/>
    <w:rsid w:val="000D51A6"/>
    <w:rsid w:val="000E0E5E"/>
    <w:rsid w:val="000E41A9"/>
    <w:rsid w:val="000E725C"/>
    <w:rsid w:val="000F18E2"/>
    <w:rsid w:val="000F4B53"/>
    <w:rsid w:val="0010681E"/>
    <w:rsid w:val="00107A84"/>
    <w:rsid w:val="00107EC4"/>
    <w:rsid w:val="0012074E"/>
    <w:rsid w:val="00122131"/>
    <w:rsid w:val="001246EC"/>
    <w:rsid w:val="00125FAF"/>
    <w:rsid w:val="00130932"/>
    <w:rsid w:val="00134789"/>
    <w:rsid w:val="00141A7C"/>
    <w:rsid w:val="00154130"/>
    <w:rsid w:val="00154F0E"/>
    <w:rsid w:val="00162CB2"/>
    <w:rsid w:val="001643A8"/>
    <w:rsid w:val="001651D2"/>
    <w:rsid w:val="00165252"/>
    <w:rsid w:val="001656C7"/>
    <w:rsid w:val="001660D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F009E"/>
    <w:rsid w:val="001F0358"/>
    <w:rsid w:val="001F3573"/>
    <w:rsid w:val="001F54E4"/>
    <w:rsid w:val="002061F3"/>
    <w:rsid w:val="002115E3"/>
    <w:rsid w:val="00211FAA"/>
    <w:rsid w:val="002123BB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207F"/>
    <w:rsid w:val="00254DA8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3001"/>
    <w:rsid w:val="002C3090"/>
    <w:rsid w:val="002D1505"/>
    <w:rsid w:val="002E4994"/>
    <w:rsid w:val="002E7DD4"/>
    <w:rsid w:val="002F02F1"/>
    <w:rsid w:val="002F6A86"/>
    <w:rsid w:val="003107E6"/>
    <w:rsid w:val="00316E68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8285B"/>
    <w:rsid w:val="00384241"/>
    <w:rsid w:val="00386938"/>
    <w:rsid w:val="00387C5E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D58DE"/>
    <w:rsid w:val="003D763A"/>
    <w:rsid w:val="003E40C2"/>
    <w:rsid w:val="003E50E3"/>
    <w:rsid w:val="003E634E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647A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533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7E7D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3517"/>
    <w:rsid w:val="004F565A"/>
    <w:rsid w:val="004F7D2A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24BC"/>
    <w:rsid w:val="00673A30"/>
    <w:rsid w:val="00676ABD"/>
    <w:rsid w:val="00680BF5"/>
    <w:rsid w:val="006811A1"/>
    <w:rsid w:val="00682A80"/>
    <w:rsid w:val="00684B03"/>
    <w:rsid w:val="0069432F"/>
    <w:rsid w:val="00695EAB"/>
    <w:rsid w:val="0069773C"/>
    <w:rsid w:val="006A63CE"/>
    <w:rsid w:val="006B499B"/>
    <w:rsid w:val="006B53F3"/>
    <w:rsid w:val="006B6344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643F"/>
    <w:rsid w:val="0074073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4B7A"/>
    <w:rsid w:val="008038A3"/>
    <w:rsid w:val="00810026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3935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1750"/>
    <w:rsid w:val="00892441"/>
    <w:rsid w:val="00894B01"/>
    <w:rsid w:val="00895173"/>
    <w:rsid w:val="008A3C19"/>
    <w:rsid w:val="008A5C9C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51AD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57802"/>
    <w:rsid w:val="00957A0B"/>
    <w:rsid w:val="00957BE0"/>
    <w:rsid w:val="009615A4"/>
    <w:rsid w:val="00962BD2"/>
    <w:rsid w:val="009636B4"/>
    <w:rsid w:val="00977102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7215"/>
    <w:rsid w:val="00A10301"/>
    <w:rsid w:val="00A111FC"/>
    <w:rsid w:val="00A12DE2"/>
    <w:rsid w:val="00A31BA3"/>
    <w:rsid w:val="00A44ECC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5AAC"/>
    <w:rsid w:val="00AA60B4"/>
    <w:rsid w:val="00AA6660"/>
    <w:rsid w:val="00AB0FB3"/>
    <w:rsid w:val="00AB186F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178CD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0A36"/>
    <w:rsid w:val="00C12045"/>
    <w:rsid w:val="00C12BCE"/>
    <w:rsid w:val="00C12D2D"/>
    <w:rsid w:val="00C15323"/>
    <w:rsid w:val="00C172DF"/>
    <w:rsid w:val="00C25D9A"/>
    <w:rsid w:val="00C40498"/>
    <w:rsid w:val="00C4081A"/>
    <w:rsid w:val="00C41EF4"/>
    <w:rsid w:val="00C474D2"/>
    <w:rsid w:val="00C6281B"/>
    <w:rsid w:val="00C64CC5"/>
    <w:rsid w:val="00C660E8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81AF4"/>
    <w:rsid w:val="00D87AD4"/>
    <w:rsid w:val="00D91CF1"/>
    <w:rsid w:val="00D97BA7"/>
    <w:rsid w:val="00DA0698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1018A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68BB"/>
    <w:rsid w:val="00E9788D"/>
    <w:rsid w:val="00EA0A53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0160"/>
    <w:rsid w:val="00F15872"/>
    <w:rsid w:val="00F165E6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A5DB7"/>
    <w:rsid w:val="00FA7709"/>
    <w:rsid w:val="00FA7BBF"/>
    <w:rsid w:val="00FC2BCF"/>
    <w:rsid w:val="00FC5731"/>
    <w:rsid w:val="00FD171F"/>
    <w:rsid w:val="00FD2B1B"/>
    <w:rsid w:val="00FD3C75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F8F3DA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EA0A5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3237-526C-4B6D-9ABB-66231E8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4797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2021-01-28T09:27:00Z</cp:lastPrinted>
  <dcterms:created xsi:type="dcterms:W3CDTF">2025-06-17T10:18:00Z</dcterms:created>
  <dcterms:modified xsi:type="dcterms:W3CDTF">2025-07-03T06:23:00Z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