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31AB2" w14:textId="77777777" w:rsidR="00EE6B5A" w:rsidRPr="009C5510" w:rsidRDefault="009C5510" w:rsidP="009C5510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Obec Krumvíř</w:t>
      </w:r>
    </w:p>
    <w:p w14:paraId="03A3DB36" w14:textId="77777777" w:rsidR="00EE6B5A" w:rsidRDefault="00D7259C" w:rsidP="00A02B72">
      <w:pPr>
        <w:pStyle w:val="Default"/>
        <w:jc w:val="center"/>
        <w:rPr>
          <w:rFonts w:ascii="Candara" w:hAnsi="Candara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A4F1BB" wp14:editId="62DA7829">
            <wp:simplePos x="0" y="0"/>
            <wp:positionH relativeFrom="column">
              <wp:posOffset>2590165</wp:posOffset>
            </wp:positionH>
            <wp:positionV relativeFrom="paragraph">
              <wp:posOffset>48895</wp:posOffset>
            </wp:positionV>
            <wp:extent cx="557530" cy="661035"/>
            <wp:effectExtent l="0" t="0" r="0" b="5715"/>
            <wp:wrapTight wrapText="bothSides">
              <wp:wrapPolygon edited="0">
                <wp:start x="0" y="0"/>
                <wp:lineTo x="0" y="21164"/>
                <wp:lineTo x="20665" y="21164"/>
                <wp:lineTo x="2066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1D511A" w14:textId="77777777" w:rsidR="009C5510" w:rsidRDefault="009C5510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3FBD2BE9" w14:textId="77777777" w:rsidR="009C5510" w:rsidRDefault="009C5510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574A5ED6" w14:textId="77777777" w:rsidR="00EE6B5A" w:rsidRDefault="00EE6B5A" w:rsidP="00A02B72">
      <w:pPr>
        <w:pStyle w:val="Default"/>
        <w:jc w:val="center"/>
        <w:rPr>
          <w:rFonts w:ascii="Candara" w:hAnsi="Candara" w:cs="Times New Roman"/>
          <w:b/>
          <w:bCs/>
        </w:rPr>
      </w:pPr>
    </w:p>
    <w:p w14:paraId="5B2525BC" w14:textId="77777777" w:rsidR="00D7259C" w:rsidRDefault="00D7259C" w:rsidP="00EA4A0F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3B259003" w14:textId="77777777" w:rsidR="00A02B72" w:rsidRDefault="00730823" w:rsidP="00EA4A0F">
      <w:pPr>
        <w:pStyle w:val="Default"/>
        <w:spacing w:after="120"/>
        <w:jc w:val="center"/>
        <w:rPr>
          <w:b/>
          <w:bCs/>
          <w:sz w:val="22"/>
          <w:szCs w:val="22"/>
        </w:rPr>
      </w:pPr>
      <w:r w:rsidRPr="00804844">
        <w:rPr>
          <w:b/>
          <w:bCs/>
          <w:sz w:val="22"/>
          <w:szCs w:val="22"/>
        </w:rPr>
        <w:t>N</w:t>
      </w:r>
      <w:r w:rsidR="009C5510">
        <w:rPr>
          <w:b/>
          <w:bCs/>
          <w:sz w:val="22"/>
          <w:szCs w:val="22"/>
        </w:rPr>
        <w:t>AŘÍZENÍ OBCE KRUMVÍŘ</w:t>
      </w:r>
    </w:p>
    <w:p w14:paraId="2B12A074" w14:textId="77777777" w:rsidR="00D7259C" w:rsidRDefault="00D7259C" w:rsidP="00EA4A0F">
      <w:pPr>
        <w:pStyle w:val="Default"/>
        <w:spacing w:after="120"/>
        <w:jc w:val="center"/>
        <w:rPr>
          <w:b/>
          <w:bCs/>
          <w:sz w:val="22"/>
          <w:szCs w:val="22"/>
        </w:rPr>
      </w:pPr>
    </w:p>
    <w:p w14:paraId="04A2420F" w14:textId="77777777" w:rsidR="00022E94" w:rsidRPr="00804844" w:rsidRDefault="00022E94" w:rsidP="00EA4A0F">
      <w:pPr>
        <w:pStyle w:val="Default"/>
        <w:spacing w:after="120"/>
        <w:jc w:val="center"/>
        <w:rPr>
          <w:sz w:val="22"/>
          <w:szCs w:val="22"/>
        </w:rPr>
      </w:pPr>
    </w:p>
    <w:p w14:paraId="5FCCEA9A" w14:textId="77777777" w:rsidR="00590B90" w:rsidRPr="00022E94" w:rsidRDefault="009C5510" w:rsidP="009C5510">
      <w:pPr>
        <w:pStyle w:val="Default"/>
        <w:spacing w:after="120"/>
        <w:jc w:val="center"/>
        <w:rPr>
          <w:sz w:val="28"/>
          <w:szCs w:val="28"/>
        </w:rPr>
      </w:pPr>
      <w:r w:rsidRPr="00022E94">
        <w:rPr>
          <w:b/>
          <w:bCs/>
          <w:sz w:val="28"/>
          <w:szCs w:val="28"/>
        </w:rPr>
        <w:t>TRŽNÍ ŘÁD</w:t>
      </w:r>
    </w:p>
    <w:p w14:paraId="5350F5C7" w14:textId="77777777" w:rsidR="004A6043" w:rsidRPr="00804844" w:rsidRDefault="004A6043" w:rsidP="00A02B72">
      <w:pPr>
        <w:pStyle w:val="Default"/>
        <w:jc w:val="both"/>
        <w:rPr>
          <w:sz w:val="22"/>
          <w:szCs w:val="22"/>
        </w:rPr>
      </w:pPr>
    </w:p>
    <w:p w14:paraId="63F1B958" w14:textId="18E58D0D" w:rsidR="00730823" w:rsidRDefault="00730823" w:rsidP="00730823">
      <w:pPr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804844">
        <w:rPr>
          <w:rFonts w:ascii="Arial" w:hAnsi="Arial" w:cs="Arial"/>
          <w:color w:val="000000"/>
        </w:rPr>
        <w:t xml:space="preserve">Rada </w:t>
      </w:r>
      <w:r w:rsidR="00022E94">
        <w:rPr>
          <w:rFonts w:ascii="Arial" w:hAnsi="Arial" w:cs="Arial"/>
          <w:color w:val="000000"/>
        </w:rPr>
        <w:t>obce</w:t>
      </w:r>
      <w:r w:rsidRPr="00804844">
        <w:rPr>
          <w:rFonts w:ascii="Arial" w:hAnsi="Arial" w:cs="Arial"/>
          <w:color w:val="000000"/>
        </w:rPr>
        <w:t xml:space="preserve"> </w:t>
      </w:r>
      <w:r w:rsidR="00022E94">
        <w:rPr>
          <w:rFonts w:ascii="Arial" w:hAnsi="Arial" w:cs="Arial"/>
          <w:color w:val="000000"/>
        </w:rPr>
        <w:t>Krumvíř</w:t>
      </w:r>
      <w:r w:rsidRPr="00804844">
        <w:rPr>
          <w:rFonts w:ascii="Arial" w:hAnsi="Arial" w:cs="Arial"/>
          <w:color w:val="000000"/>
        </w:rPr>
        <w:t xml:space="preserve"> se na své</w:t>
      </w:r>
      <w:r w:rsidR="00856FBE">
        <w:rPr>
          <w:rFonts w:ascii="Arial" w:hAnsi="Arial" w:cs="Arial"/>
          <w:color w:val="000000"/>
        </w:rPr>
        <w:t>m</w:t>
      </w:r>
      <w:r w:rsidRPr="00804844">
        <w:rPr>
          <w:rFonts w:ascii="Arial" w:hAnsi="Arial" w:cs="Arial"/>
          <w:color w:val="000000"/>
        </w:rPr>
        <w:t xml:space="preserve"> </w:t>
      </w:r>
      <w:r w:rsidR="0089547B">
        <w:rPr>
          <w:rFonts w:ascii="Arial" w:hAnsi="Arial" w:cs="Arial"/>
          <w:color w:val="000000"/>
        </w:rPr>
        <w:t>5</w:t>
      </w:r>
      <w:r w:rsidR="00022E94" w:rsidRPr="0089547B">
        <w:rPr>
          <w:rFonts w:ascii="Arial" w:hAnsi="Arial" w:cs="Arial"/>
          <w:color w:val="000000"/>
        </w:rPr>
        <w:t>. zasedání</w:t>
      </w:r>
      <w:r w:rsidRPr="00804844">
        <w:rPr>
          <w:rFonts w:ascii="Arial" w:hAnsi="Arial" w:cs="Arial"/>
          <w:color w:val="000000"/>
        </w:rPr>
        <w:t xml:space="preserve"> konané</w:t>
      </w:r>
      <w:r w:rsidR="00022E94">
        <w:rPr>
          <w:rFonts w:ascii="Arial" w:hAnsi="Arial" w:cs="Arial"/>
          <w:color w:val="000000"/>
        </w:rPr>
        <w:t>m</w:t>
      </w:r>
      <w:r w:rsidRPr="00804844">
        <w:rPr>
          <w:rFonts w:ascii="Arial" w:hAnsi="Arial" w:cs="Arial"/>
          <w:color w:val="000000"/>
        </w:rPr>
        <w:t xml:space="preserve"> dne</w:t>
      </w:r>
      <w:r w:rsidR="00022E94">
        <w:rPr>
          <w:rFonts w:ascii="Arial" w:hAnsi="Arial" w:cs="Arial"/>
          <w:color w:val="000000"/>
        </w:rPr>
        <w:t xml:space="preserve"> </w:t>
      </w:r>
      <w:r w:rsidR="0089547B">
        <w:rPr>
          <w:rFonts w:ascii="Arial" w:hAnsi="Arial" w:cs="Arial"/>
          <w:color w:val="000000"/>
        </w:rPr>
        <w:t xml:space="preserve">29.5.2024 </w:t>
      </w:r>
      <w:r w:rsidRPr="00804844">
        <w:rPr>
          <w:rFonts w:ascii="Arial" w:hAnsi="Arial" w:cs="Arial"/>
          <w:color w:val="000000"/>
        </w:rPr>
        <w:t>usnesla vydat na základě </w:t>
      </w:r>
      <w:r w:rsidR="00640235" w:rsidRPr="0094612C">
        <w:rPr>
          <w:rFonts w:ascii="Arial" w:hAnsi="Arial" w:cs="Arial"/>
        </w:rPr>
        <w:t>§ 18 zákona č. 455/1991 Sb., o živnostenském podnikání (živnostenský zákon), ve znění pozdějších předpisů</w:t>
      </w:r>
      <w:r w:rsidR="00640235" w:rsidRPr="00366DD4">
        <w:rPr>
          <w:rFonts w:ascii="Arial" w:hAnsi="Arial" w:cs="Arial"/>
          <w:color w:val="000000"/>
        </w:rPr>
        <w:t xml:space="preserve"> </w:t>
      </w:r>
      <w:r w:rsidR="00366DD4" w:rsidRPr="00366DD4">
        <w:rPr>
          <w:rFonts w:ascii="Arial" w:hAnsi="Arial" w:cs="Arial"/>
          <w:color w:val="000000"/>
        </w:rPr>
        <w:t xml:space="preserve">a v souladu s § 11 odst. 1 a § 102 odst. 2 písm. d) zákona č. 128/2000 Sb., o obcích (obecní zřízení), ve znění pozdějších předpisů toto nařízení </w:t>
      </w:r>
      <w:r w:rsidR="00022E94">
        <w:rPr>
          <w:rFonts w:ascii="Arial" w:hAnsi="Arial" w:cs="Arial"/>
          <w:color w:val="000000"/>
        </w:rPr>
        <w:t>obce</w:t>
      </w:r>
      <w:r w:rsidR="00366DD4" w:rsidRPr="00366DD4">
        <w:rPr>
          <w:rFonts w:ascii="Arial" w:hAnsi="Arial" w:cs="Arial"/>
          <w:color w:val="000000"/>
        </w:rPr>
        <w:t>:</w:t>
      </w:r>
    </w:p>
    <w:p w14:paraId="4B604DF1" w14:textId="77777777" w:rsidR="004E16B6" w:rsidRPr="00804844" w:rsidRDefault="004E16B6" w:rsidP="00730823">
      <w:pPr>
        <w:adjustRightInd w:val="0"/>
        <w:spacing w:after="120" w:line="24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489B02BF" w14:textId="77777777" w:rsidR="00730823" w:rsidRPr="00640235" w:rsidRDefault="00AF456D" w:rsidP="00640235">
      <w:pPr>
        <w:spacing w:after="12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Čl.</w:t>
      </w:r>
      <w:r w:rsidR="00730823" w:rsidRPr="00640235">
        <w:rPr>
          <w:rFonts w:ascii="Arial" w:hAnsi="Arial" w:cs="Arial"/>
          <w:bCs/>
        </w:rPr>
        <w:t xml:space="preserve"> 1 </w:t>
      </w:r>
    </w:p>
    <w:p w14:paraId="7DC53E50" w14:textId="77777777" w:rsidR="00960091" w:rsidRPr="00640235" w:rsidRDefault="00640235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640235">
        <w:rPr>
          <w:rFonts w:ascii="Arial" w:hAnsi="Arial" w:cs="Arial"/>
          <w:b/>
          <w:bCs/>
        </w:rPr>
        <w:t xml:space="preserve">Úvodní ustanovení </w:t>
      </w:r>
    </w:p>
    <w:p w14:paraId="12F4769B" w14:textId="0F824E3B" w:rsidR="00022E94" w:rsidRDefault="00640235" w:rsidP="004E16B6">
      <w:pPr>
        <w:pStyle w:val="Odstavecseseznamem"/>
        <w:numPr>
          <w:ilvl w:val="0"/>
          <w:numId w:val="29"/>
        </w:numPr>
        <w:spacing w:after="120" w:line="240" w:lineRule="auto"/>
        <w:ind w:left="397" w:hanging="397"/>
        <w:jc w:val="both"/>
        <w:rPr>
          <w:rFonts w:ascii="Arial" w:hAnsi="Arial" w:cs="Arial"/>
        </w:rPr>
      </w:pPr>
      <w:r w:rsidRPr="004E16B6">
        <w:rPr>
          <w:rFonts w:ascii="Arial" w:hAnsi="Arial" w:cs="Arial"/>
        </w:rPr>
        <w:t xml:space="preserve">Toto nařízení </w:t>
      </w:r>
      <w:r w:rsidR="00022E94" w:rsidRPr="004E16B6">
        <w:rPr>
          <w:rFonts w:ascii="Arial" w:hAnsi="Arial" w:cs="Arial"/>
        </w:rPr>
        <w:t>obce</w:t>
      </w:r>
      <w:r w:rsidRPr="004E16B6">
        <w:rPr>
          <w:rFonts w:ascii="Arial" w:hAnsi="Arial" w:cs="Arial"/>
        </w:rPr>
        <w:t xml:space="preserve"> (dále též jako </w:t>
      </w:r>
      <w:r w:rsidR="004E16B6" w:rsidRPr="004E16B6">
        <w:rPr>
          <w:rFonts w:ascii="Arial" w:hAnsi="Arial" w:cs="Arial"/>
        </w:rPr>
        <w:t>„</w:t>
      </w:r>
      <w:r w:rsidRPr="004E16B6">
        <w:rPr>
          <w:rFonts w:ascii="Arial" w:hAnsi="Arial" w:cs="Arial"/>
        </w:rPr>
        <w:t>tržní řád</w:t>
      </w:r>
      <w:r w:rsidR="004E16B6" w:rsidRPr="004E16B6">
        <w:rPr>
          <w:rFonts w:ascii="Arial" w:hAnsi="Arial" w:cs="Arial"/>
        </w:rPr>
        <w:t>“</w:t>
      </w:r>
      <w:r w:rsidRPr="004E16B6">
        <w:rPr>
          <w:rFonts w:ascii="Arial" w:hAnsi="Arial" w:cs="Arial"/>
        </w:rPr>
        <w:t>) stan</w:t>
      </w:r>
      <w:r w:rsidR="004E16B6" w:rsidRPr="004E16B6">
        <w:rPr>
          <w:rFonts w:ascii="Arial" w:hAnsi="Arial" w:cs="Arial"/>
        </w:rPr>
        <w:t>oví</w:t>
      </w:r>
      <w:r w:rsidRPr="004E16B6">
        <w:rPr>
          <w:rFonts w:ascii="Arial" w:hAnsi="Arial" w:cs="Arial"/>
        </w:rPr>
        <w:t xml:space="preserve"> podmínky </w:t>
      </w:r>
      <w:r w:rsidR="00022E94" w:rsidRPr="004E16B6">
        <w:rPr>
          <w:rFonts w:ascii="Arial" w:hAnsi="Arial" w:cs="Arial"/>
        </w:rPr>
        <w:t xml:space="preserve">na území obce Krumvíř </w:t>
      </w:r>
      <w:r w:rsidRPr="004E16B6">
        <w:rPr>
          <w:rFonts w:ascii="Arial" w:hAnsi="Arial" w:cs="Arial"/>
        </w:rPr>
        <w:t>pro nabídku</w:t>
      </w:r>
      <w:r w:rsidR="00022E94" w:rsidRPr="004E16B6">
        <w:rPr>
          <w:rFonts w:ascii="Arial" w:hAnsi="Arial" w:cs="Arial"/>
        </w:rPr>
        <w:t xml:space="preserve"> a </w:t>
      </w:r>
      <w:r w:rsidRPr="004E16B6">
        <w:rPr>
          <w:rFonts w:ascii="Arial" w:hAnsi="Arial" w:cs="Arial"/>
        </w:rPr>
        <w:t xml:space="preserve">prodej zboží (dále jen </w:t>
      </w:r>
      <w:r w:rsidR="004E16B6" w:rsidRPr="004E16B6">
        <w:rPr>
          <w:rFonts w:ascii="Arial" w:hAnsi="Arial" w:cs="Arial"/>
        </w:rPr>
        <w:t>„</w:t>
      </w:r>
      <w:r w:rsidRPr="004E16B6">
        <w:rPr>
          <w:rFonts w:ascii="Arial" w:hAnsi="Arial" w:cs="Arial"/>
        </w:rPr>
        <w:t>prodej zboží</w:t>
      </w:r>
      <w:r w:rsidR="004E16B6" w:rsidRPr="004E16B6">
        <w:rPr>
          <w:rFonts w:ascii="Arial" w:hAnsi="Arial" w:cs="Arial"/>
        </w:rPr>
        <w:t>“</w:t>
      </w:r>
      <w:r w:rsidRPr="004E16B6">
        <w:rPr>
          <w:rFonts w:ascii="Arial" w:hAnsi="Arial" w:cs="Arial"/>
        </w:rPr>
        <w:t xml:space="preserve">) a </w:t>
      </w:r>
      <w:r w:rsidR="004E16B6">
        <w:rPr>
          <w:rFonts w:ascii="Arial" w:hAnsi="Arial" w:cs="Arial"/>
        </w:rPr>
        <w:t xml:space="preserve">pro nabídku a </w:t>
      </w:r>
      <w:r w:rsidRPr="004E16B6">
        <w:rPr>
          <w:rFonts w:ascii="Arial" w:hAnsi="Arial" w:cs="Arial"/>
        </w:rPr>
        <w:t xml:space="preserve">poskytování služeb </w:t>
      </w:r>
      <w:r w:rsidR="004E16B6" w:rsidRPr="004E16B6">
        <w:rPr>
          <w:rFonts w:ascii="Arial" w:hAnsi="Arial" w:cs="Arial"/>
        </w:rPr>
        <w:t xml:space="preserve">(dále jen „poskytování služeb“) </w:t>
      </w:r>
      <w:r w:rsidRPr="004E16B6">
        <w:rPr>
          <w:rFonts w:ascii="Arial" w:hAnsi="Arial" w:cs="Arial"/>
        </w:rPr>
        <w:t xml:space="preserve">mimo provozovnu určenou k tomuto účelu </w:t>
      </w:r>
      <w:bookmarkStart w:id="0" w:name="_Hlk159671131"/>
      <w:r w:rsidRPr="004E16B6">
        <w:rPr>
          <w:rFonts w:ascii="Arial" w:hAnsi="Arial" w:cs="Arial"/>
        </w:rPr>
        <w:t>rozhodnutím</w:t>
      </w:r>
      <w:r w:rsidR="00022E94" w:rsidRPr="004E16B6">
        <w:rPr>
          <w:rFonts w:ascii="Arial" w:hAnsi="Arial" w:cs="Arial"/>
        </w:rPr>
        <w:t>, opatřením nebo jiným úkonem</w:t>
      </w:r>
      <w:r w:rsidRPr="004E16B6">
        <w:rPr>
          <w:rFonts w:ascii="Arial" w:hAnsi="Arial" w:cs="Arial"/>
        </w:rPr>
        <w:t xml:space="preserve"> podle zvláštního zákona</w:t>
      </w:r>
      <w:bookmarkEnd w:id="0"/>
      <w:r w:rsidRPr="009A353D">
        <w:rPr>
          <w:vertAlign w:val="superscript"/>
        </w:rPr>
        <w:footnoteReference w:id="1"/>
      </w:r>
      <w:r w:rsidR="00BD3A0A">
        <w:rPr>
          <w:rFonts w:ascii="Arial" w:hAnsi="Arial" w:cs="Arial"/>
          <w:vertAlign w:val="superscript"/>
        </w:rPr>
        <w:t>)</w:t>
      </w:r>
      <w:r w:rsidRPr="004E16B6">
        <w:rPr>
          <w:rFonts w:ascii="Arial" w:hAnsi="Arial" w:cs="Arial"/>
        </w:rPr>
        <w:t xml:space="preserve">, </w:t>
      </w:r>
      <w:r w:rsidR="00022E94" w:rsidRPr="004E16B6">
        <w:rPr>
          <w:rFonts w:ascii="Arial" w:hAnsi="Arial" w:cs="Arial"/>
        </w:rPr>
        <w:t xml:space="preserve">a to </w:t>
      </w:r>
      <w:r w:rsidRPr="004E16B6">
        <w:rPr>
          <w:rFonts w:ascii="Arial" w:hAnsi="Arial" w:cs="Arial"/>
        </w:rPr>
        <w:t>zejména na tržištích, tržních místech</w:t>
      </w:r>
      <w:r w:rsidR="00022E94" w:rsidRPr="004E16B6">
        <w:rPr>
          <w:rFonts w:ascii="Arial" w:hAnsi="Arial" w:cs="Arial"/>
        </w:rPr>
        <w:t xml:space="preserve"> a restauračních předzahrádkách</w:t>
      </w:r>
      <w:r w:rsidR="00D0251C" w:rsidRPr="004E16B6">
        <w:rPr>
          <w:rFonts w:ascii="Arial" w:hAnsi="Arial" w:cs="Arial"/>
        </w:rPr>
        <w:t xml:space="preserve"> (dále společně též jako </w:t>
      </w:r>
      <w:r w:rsidR="004E16B6" w:rsidRPr="004E16B6">
        <w:rPr>
          <w:rFonts w:ascii="Arial" w:hAnsi="Arial" w:cs="Arial"/>
        </w:rPr>
        <w:t>„</w:t>
      </w:r>
      <w:r w:rsidR="00D0251C" w:rsidRPr="004E16B6">
        <w:rPr>
          <w:rFonts w:ascii="Arial" w:hAnsi="Arial" w:cs="Arial"/>
        </w:rPr>
        <w:t>tržiště</w:t>
      </w:r>
      <w:r w:rsidR="004E16B6" w:rsidRPr="004E16B6">
        <w:rPr>
          <w:rFonts w:ascii="Arial" w:hAnsi="Arial" w:cs="Arial"/>
        </w:rPr>
        <w:t>“</w:t>
      </w:r>
      <w:r w:rsidR="00D0251C" w:rsidRPr="004E16B6">
        <w:rPr>
          <w:rFonts w:ascii="Arial" w:hAnsi="Arial" w:cs="Arial"/>
        </w:rPr>
        <w:t>)</w:t>
      </w:r>
      <w:r w:rsidRPr="004E16B6">
        <w:rPr>
          <w:rFonts w:ascii="Arial" w:hAnsi="Arial" w:cs="Arial"/>
        </w:rPr>
        <w:t>.</w:t>
      </w:r>
    </w:p>
    <w:p w14:paraId="4776CF61" w14:textId="77777777" w:rsidR="004E16B6" w:rsidRDefault="004E16B6" w:rsidP="004E16B6">
      <w:pPr>
        <w:pStyle w:val="Odstavecseseznamem"/>
        <w:spacing w:after="120" w:line="240" w:lineRule="auto"/>
        <w:ind w:left="397"/>
        <w:jc w:val="both"/>
        <w:rPr>
          <w:rFonts w:ascii="Arial" w:hAnsi="Arial" w:cs="Arial"/>
        </w:rPr>
      </w:pPr>
    </w:p>
    <w:p w14:paraId="33FEA97C" w14:textId="77777777" w:rsidR="00744AA1" w:rsidRPr="004E16B6" w:rsidRDefault="00744AA1" w:rsidP="00F07B43">
      <w:pPr>
        <w:pStyle w:val="Odstavecseseznamem"/>
        <w:numPr>
          <w:ilvl w:val="0"/>
          <w:numId w:val="29"/>
        </w:numPr>
        <w:spacing w:after="120" w:line="240" w:lineRule="auto"/>
        <w:ind w:left="397" w:hanging="397"/>
        <w:jc w:val="both"/>
        <w:rPr>
          <w:rFonts w:ascii="Arial" w:hAnsi="Arial" w:cs="Arial"/>
        </w:rPr>
      </w:pPr>
      <w:r w:rsidRPr="004E16B6">
        <w:rPr>
          <w:rFonts w:ascii="Arial" w:hAnsi="Arial" w:cs="Arial"/>
        </w:rPr>
        <w:t xml:space="preserve">Toto nařízení obce je závazné pro celé území obce Krumvíř bez ohledu na charakter prostranství a vlastnictví k němu.  </w:t>
      </w:r>
    </w:p>
    <w:p w14:paraId="4BB8CD71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br/>
      </w:r>
      <w:r w:rsidR="00AF456D" w:rsidRPr="009A353D">
        <w:rPr>
          <w:rFonts w:ascii="Arial" w:hAnsi="Arial" w:cs="Arial"/>
        </w:rPr>
        <w:t>Čl.</w:t>
      </w:r>
      <w:r w:rsidRPr="009A353D">
        <w:rPr>
          <w:rFonts w:ascii="Arial" w:hAnsi="Arial" w:cs="Arial"/>
        </w:rPr>
        <w:t xml:space="preserve"> 2</w:t>
      </w:r>
    </w:p>
    <w:p w14:paraId="0BAE4843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>Předmět úpravy</w:t>
      </w:r>
    </w:p>
    <w:p w14:paraId="3816EE82" w14:textId="77777777" w:rsidR="00640235" w:rsidRPr="009A353D" w:rsidRDefault="00640235" w:rsidP="00F07B43">
      <w:pPr>
        <w:spacing w:after="120" w:line="240" w:lineRule="auto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Tento tržní řád vymezuje:</w:t>
      </w:r>
    </w:p>
    <w:p w14:paraId="62C8C598" w14:textId="14FFF332" w:rsidR="00640235" w:rsidRPr="009A353D" w:rsidRDefault="00D25ED8" w:rsidP="00935224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p</w:t>
      </w:r>
      <w:r w:rsidR="004E16B6">
        <w:rPr>
          <w:rFonts w:ascii="Arial" w:hAnsi="Arial" w:cs="Arial"/>
        </w:rPr>
        <w:t>odmínky pro prodej zboží</w:t>
      </w:r>
      <w:r w:rsidR="00E66E89" w:rsidRPr="009A353D">
        <w:rPr>
          <w:rFonts w:ascii="Arial" w:hAnsi="Arial" w:cs="Arial"/>
        </w:rPr>
        <w:t xml:space="preserve"> a poskytování služeb mimo provozovnu určenou k tomuto účelu rozhodnutím, opatřením nebo jiným úkonem vyžadovaným stavebním zákonem</w:t>
      </w:r>
      <w:r w:rsidR="00E66E89" w:rsidRPr="009A353D">
        <w:rPr>
          <w:rFonts w:ascii="Arial" w:hAnsi="Arial" w:cs="Arial"/>
          <w:vertAlign w:val="superscript"/>
        </w:rPr>
        <w:t>1</w:t>
      </w:r>
      <w:r w:rsidR="00BD3A0A">
        <w:rPr>
          <w:rFonts w:ascii="Arial" w:hAnsi="Arial" w:cs="Arial"/>
          <w:vertAlign w:val="superscript"/>
        </w:rPr>
        <w:t>)</w:t>
      </w:r>
      <w:r w:rsidR="00E66E89" w:rsidRPr="009A353D">
        <w:rPr>
          <w:rFonts w:ascii="Arial" w:hAnsi="Arial" w:cs="Arial"/>
          <w:vertAlign w:val="superscript"/>
        </w:rPr>
        <w:t xml:space="preserve"> </w:t>
      </w:r>
      <w:r w:rsidR="00E66E89" w:rsidRPr="009A353D">
        <w:rPr>
          <w:rFonts w:ascii="Arial" w:hAnsi="Arial" w:cs="Arial"/>
        </w:rPr>
        <w:t>na území obce Krumvíř</w:t>
      </w:r>
      <w:r w:rsidRPr="009A353D">
        <w:rPr>
          <w:rFonts w:ascii="Arial" w:hAnsi="Arial" w:cs="Arial"/>
        </w:rPr>
        <w:t>,</w:t>
      </w:r>
      <w:r w:rsidR="00E66E89" w:rsidRPr="009A353D">
        <w:rPr>
          <w:rFonts w:ascii="Arial" w:hAnsi="Arial" w:cs="Arial"/>
        </w:rPr>
        <w:t xml:space="preserve"> </w:t>
      </w:r>
    </w:p>
    <w:p w14:paraId="4B51464A" w14:textId="77777777" w:rsidR="00640235" w:rsidRPr="009A353D" w:rsidRDefault="00F07B43" w:rsidP="00C3404C">
      <w:pPr>
        <w:pStyle w:val="Odstavecseseznamem"/>
        <w:numPr>
          <w:ilvl w:val="0"/>
          <w:numId w:val="20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formy</w:t>
      </w:r>
      <w:r w:rsidR="00640235" w:rsidRPr="009A353D">
        <w:rPr>
          <w:rFonts w:ascii="Arial" w:hAnsi="Arial" w:cs="Arial"/>
        </w:rPr>
        <w:t xml:space="preserve"> prodeje zboží a poskytování služeb mimo provozovnu</w:t>
      </w:r>
      <w:r w:rsidR="00D25ED8" w:rsidRPr="009A353D">
        <w:rPr>
          <w:rFonts w:ascii="Arial" w:hAnsi="Arial" w:cs="Arial"/>
        </w:rPr>
        <w:t>, na které</w:t>
      </w:r>
      <w:r w:rsidR="00640235" w:rsidRPr="009A353D">
        <w:rPr>
          <w:rFonts w:ascii="Arial" w:hAnsi="Arial" w:cs="Arial"/>
        </w:rPr>
        <w:t xml:space="preserve"> se </w:t>
      </w:r>
      <w:r w:rsidR="00D25ED8" w:rsidRPr="009A353D">
        <w:rPr>
          <w:rFonts w:ascii="Arial" w:hAnsi="Arial" w:cs="Arial"/>
        </w:rPr>
        <w:t xml:space="preserve">tento </w:t>
      </w:r>
      <w:r w:rsidR="00640235" w:rsidRPr="009A353D">
        <w:rPr>
          <w:rFonts w:ascii="Arial" w:hAnsi="Arial" w:cs="Arial"/>
        </w:rPr>
        <w:t xml:space="preserve">tržní řád nevztahuje nebo které </w:t>
      </w:r>
      <w:r w:rsidRPr="009A353D">
        <w:rPr>
          <w:rFonts w:ascii="Arial" w:hAnsi="Arial" w:cs="Arial"/>
        </w:rPr>
        <w:t xml:space="preserve">formy </w:t>
      </w:r>
      <w:r w:rsidR="00640235" w:rsidRPr="009A353D">
        <w:rPr>
          <w:rFonts w:ascii="Arial" w:hAnsi="Arial" w:cs="Arial"/>
        </w:rPr>
        <w:t xml:space="preserve">prodeje zboží a poskytování služeb mimo provozovnu jsou na území </w:t>
      </w:r>
      <w:r w:rsidR="00D4691B" w:rsidRPr="009A353D">
        <w:rPr>
          <w:rFonts w:ascii="Arial" w:hAnsi="Arial" w:cs="Arial"/>
        </w:rPr>
        <w:t>obce Krumvíř</w:t>
      </w:r>
      <w:r w:rsidR="00640235" w:rsidRPr="009A353D">
        <w:rPr>
          <w:rFonts w:ascii="Arial" w:hAnsi="Arial" w:cs="Arial"/>
        </w:rPr>
        <w:t xml:space="preserve"> zakázány</w:t>
      </w:r>
      <w:r w:rsidR="00C3404C" w:rsidRPr="009A353D">
        <w:rPr>
          <w:rFonts w:ascii="Arial" w:hAnsi="Arial" w:cs="Arial"/>
        </w:rPr>
        <w:t>.</w:t>
      </w:r>
    </w:p>
    <w:p w14:paraId="08025835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t>Čl.</w:t>
      </w:r>
      <w:r w:rsidR="00640235" w:rsidRPr="009A353D">
        <w:rPr>
          <w:rFonts w:ascii="Arial" w:hAnsi="Arial" w:cs="Arial"/>
        </w:rPr>
        <w:t xml:space="preserve"> 3</w:t>
      </w:r>
    </w:p>
    <w:p w14:paraId="5CFE9C21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>Základní pojmy</w:t>
      </w:r>
    </w:p>
    <w:p w14:paraId="2EB884A4" w14:textId="3A217CC3" w:rsidR="00640235" w:rsidRPr="009A353D" w:rsidRDefault="00640235" w:rsidP="008D3552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</w:rPr>
        <w:t>Tržiště</w:t>
      </w:r>
      <w:r w:rsidRPr="009A353D">
        <w:rPr>
          <w:rFonts w:ascii="Arial" w:hAnsi="Arial" w:cs="Arial"/>
        </w:rPr>
        <w:t xml:space="preserve"> – </w:t>
      </w:r>
      <w:r w:rsidR="00D4691B" w:rsidRPr="009A353D">
        <w:rPr>
          <w:rFonts w:ascii="Arial" w:hAnsi="Arial" w:cs="Arial"/>
        </w:rPr>
        <w:t xml:space="preserve">je neuzavíratelný, uzavíratelný nebo částečně uzavíratelný nezastřešený prostor mimo provozovnu určenou k tomuto účelu rozhodnutím, opatřením nebo jiným úkonem vyžadovaným </w:t>
      </w:r>
      <w:bookmarkStart w:id="1" w:name="_Hlk159768829"/>
      <w:r w:rsidR="00D4691B" w:rsidRPr="009A353D">
        <w:rPr>
          <w:rFonts w:ascii="Arial" w:hAnsi="Arial" w:cs="Arial"/>
        </w:rPr>
        <w:t>stavebním zákonem</w:t>
      </w:r>
      <w:r w:rsidR="00856FBE" w:rsidRPr="009A353D">
        <w:rPr>
          <w:rFonts w:ascii="Arial" w:hAnsi="Arial" w:cs="Arial"/>
          <w:vertAlign w:val="superscript"/>
        </w:rPr>
        <w:t>1</w:t>
      </w:r>
      <w:bookmarkEnd w:id="1"/>
      <w:r w:rsidR="00BD3A0A">
        <w:rPr>
          <w:rFonts w:ascii="Arial" w:hAnsi="Arial" w:cs="Arial"/>
          <w:vertAlign w:val="superscript"/>
        </w:rPr>
        <w:t>)</w:t>
      </w:r>
      <w:r w:rsidR="00D4691B" w:rsidRPr="009A353D">
        <w:rPr>
          <w:rFonts w:ascii="Arial" w:hAnsi="Arial" w:cs="Arial"/>
        </w:rPr>
        <w:t>, ve kterém se prodává zboží a poskytují služby z prodejních zařízení umístěných na zpevněném povrchu.</w:t>
      </w:r>
    </w:p>
    <w:p w14:paraId="77C55B92" w14:textId="17AA19A1" w:rsidR="00640235" w:rsidRPr="009A353D" w:rsidRDefault="00640235" w:rsidP="008D3552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</w:rPr>
        <w:lastRenderedPageBreak/>
        <w:t>Tržní místo</w:t>
      </w:r>
      <w:r w:rsidRPr="009A353D">
        <w:rPr>
          <w:rFonts w:ascii="Arial" w:hAnsi="Arial" w:cs="Arial"/>
        </w:rPr>
        <w:t xml:space="preserve"> – </w:t>
      </w:r>
      <w:r w:rsidR="00D4691B" w:rsidRPr="009A353D">
        <w:rPr>
          <w:rFonts w:ascii="Arial" w:hAnsi="Arial" w:cs="Arial"/>
        </w:rPr>
        <w:t>je místo mimo provozovnu určenou k tomuto účelu rozhodnutím, opatřením nebo jiným úkonem vyžadovaným stavebním zákonem</w:t>
      </w:r>
      <w:r w:rsidR="00856FBE" w:rsidRPr="009A353D">
        <w:rPr>
          <w:rFonts w:ascii="Arial" w:hAnsi="Arial" w:cs="Arial"/>
          <w:vertAlign w:val="superscript"/>
        </w:rPr>
        <w:t>1</w:t>
      </w:r>
      <w:r w:rsidR="00BD3A0A">
        <w:rPr>
          <w:rFonts w:ascii="Arial" w:hAnsi="Arial" w:cs="Arial"/>
          <w:vertAlign w:val="superscript"/>
        </w:rPr>
        <w:t>)</w:t>
      </w:r>
      <w:r w:rsidR="00D4691B" w:rsidRPr="009A353D">
        <w:rPr>
          <w:rFonts w:ascii="Arial" w:hAnsi="Arial" w:cs="Arial"/>
        </w:rPr>
        <w:t>, umístěné mimo tržiště, na kterém se prodává zboží a poskytují služby z prodejních zařízení, umístěných na zpevněném povrchu.</w:t>
      </w:r>
    </w:p>
    <w:p w14:paraId="6956E1A1" w14:textId="73A5F1F4" w:rsidR="00640235" w:rsidRPr="009A353D" w:rsidRDefault="00640235" w:rsidP="008D3552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</w:rPr>
        <w:t>Prodejní místo</w:t>
      </w:r>
      <w:r w:rsidRPr="009A353D">
        <w:rPr>
          <w:rFonts w:ascii="Arial" w:hAnsi="Arial" w:cs="Arial"/>
        </w:rPr>
        <w:t xml:space="preserve"> – </w:t>
      </w:r>
      <w:r w:rsidR="00D4691B" w:rsidRPr="009A353D">
        <w:rPr>
          <w:rFonts w:ascii="Arial" w:hAnsi="Arial" w:cs="Arial"/>
        </w:rPr>
        <w:t>je místo mimo provozovnu určenou k tomuto účelu rozhodnutím, opatřením nebo jiným úkonem vyžadovaným stavebním zákonem</w:t>
      </w:r>
      <w:bookmarkStart w:id="2" w:name="_Hlk159671502"/>
      <w:r w:rsidR="00D4691B" w:rsidRPr="009A353D">
        <w:rPr>
          <w:rFonts w:ascii="Arial" w:hAnsi="Arial" w:cs="Arial"/>
          <w:vertAlign w:val="superscript"/>
        </w:rPr>
        <w:t>1</w:t>
      </w:r>
      <w:bookmarkEnd w:id="2"/>
      <w:r w:rsidR="00BD3A0A">
        <w:rPr>
          <w:rFonts w:ascii="Arial" w:hAnsi="Arial" w:cs="Arial"/>
          <w:vertAlign w:val="superscript"/>
        </w:rPr>
        <w:t>)</w:t>
      </w:r>
      <w:r w:rsidR="00D4691B" w:rsidRPr="009A353D">
        <w:rPr>
          <w:rFonts w:ascii="Arial" w:hAnsi="Arial" w:cs="Arial"/>
        </w:rPr>
        <w:t xml:space="preserve"> umístěné na tržištích, tržních místech a na trasách pro pojízdný prodej zboží, na kterém se prodává zboží a poskytují služby z prodejních zařízení.</w:t>
      </w:r>
    </w:p>
    <w:p w14:paraId="451AC56A" w14:textId="77777777" w:rsidR="00640235" w:rsidRPr="009A353D" w:rsidRDefault="00640235" w:rsidP="008D3552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</w:rPr>
        <w:t>Prodejce</w:t>
      </w:r>
      <w:r w:rsidRPr="009A353D">
        <w:rPr>
          <w:rFonts w:ascii="Arial" w:hAnsi="Arial" w:cs="Arial"/>
        </w:rPr>
        <w:t xml:space="preserve"> – </w:t>
      </w:r>
      <w:r w:rsidR="00D4691B" w:rsidRPr="009A353D">
        <w:rPr>
          <w:rFonts w:ascii="Arial" w:hAnsi="Arial" w:cs="Arial"/>
        </w:rPr>
        <w:t>je fyzická nebo právnická osoba, která prodává zboží nebo poskytuje služby na tržištích, tržních místech, v restauračních předzahrádkách, z mobilních a jiných prodejních zařízeních apod.</w:t>
      </w:r>
    </w:p>
    <w:p w14:paraId="2F144AE0" w14:textId="05D4A991" w:rsidR="00640235" w:rsidRPr="009A353D" w:rsidRDefault="00D4691B" w:rsidP="00D4691B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  <w:bCs/>
        </w:rPr>
        <w:t xml:space="preserve">Restaurační </w:t>
      </w:r>
      <w:proofErr w:type="gramStart"/>
      <w:r w:rsidRPr="009A353D">
        <w:rPr>
          <w:rFonts w:ascii="Arial" w:hAnsi="Arial" w:cs="Arial"/>
          <w:b/>
          <w:bCs/>
        </w:rPr>
        <w:t>předzahrádka</w:t>
      </w:r>
      <w:r w:rsidRPr="009A353D">
        <w:rPr>
          <w:rFonts w:ascii="Arial" w:hAnsi="Arial" w:cs="Arial"/>
        </w:rPr>
        <w:t xml:space="preserve"> - je</w:t>
      </w:r>
      <w:proofErr w:type="gramEnd"/>
      <w:r w:rsidRPr="009A353D">
        <w:rPr>
          <w:rFonts w:ascii="Arial" w:hAnsi="Arial" w:cs="Arial"/>
        </w:rPr>
        <w:t xml:space="preserve"> místo mimo provozovnu určenou k tomuto účelu rozhodnutím, opatřením nebo jiným úkonem vyžadovaným stavebním zákonem</w:t>
      </w:r>
      <w:bookmarkStart w:id="3" w:name="_Hlk159671903"/>
      <w:r w:rsidRPr="009A353D">
        <w:rPr>
          <w:rFonts w:ascii="Arial" w:hAnsi="Arial" w:cs="Arial"/>
          <w:vertAlign w:val="superscript"/>
        </w:rPr>
        <w:t>1</w:t>
      </w:r>
      <w:r w:rsidR="00BD3A0A">
        <w:rPr>
          <w:rFonts w:ascii="Arial" w:hAnsi="Arial" w:cs="Arial"/>
          <w:vertAlign w:val="superscript"/>
        </w:rPr>
        <w:t>)</w:t>
      </w:r>
      <w:bookmarkEnd w:id="3"/>
      <w:r w:rsidRPr="009A353D">
        <w:rPr>
          <w:rFonts w:ascii="Arial" w:hAnsi="Arial" w:cs="Arial"/>
        </w:rPr>
        <w:t>, na kterém se na zpevněném povrchu prodává zboží a poskytují služby v rámci ohlašovací řemeslné živnosti „hostinská činnost“, které je k výkonu této činnosti vybaveno a funkčně souvisí s provozovnou určenou k tomuto účelu rozhodnutím, opatřením nebo jiným úkonem vyžadovaným stavebním zákonem</w:t>
      </w:r>
      <w:r w:rsidRPr="009A353D">
        <w:rPr>
          <w:rFonts w:ascii="Arial" w:hAnsi="Arial" w:cs="Arial"/>
          <w:vertAlign w:val="superscript"/>
        </w:rPr>
        <w:t>1</w:t>
      </w:r>
      <w:r w:rsidR="00BD3A0A">
        <w:rPr>
          <w:rFonts w:ascii="Arial" w:hAnsi="Arial" w:cs="Arial"/>
          <w:vertAlign w:val="superscript"/>
        </w:rPr>
        <w:t>)</w:t>
      </w:r>
      <w:r w:rsidRPr="009A353D">
        <w:rPr>
          <w:rFonts w:ascii="Arial" w:hAnsi="Arial" w:cs="Arial"/>
        </w:rPr>
        <w:t>. Restaurační předzahrádka musí mít stejného provozovatele jako uvedená provozovna.</w:t>
      </w:r>
    </w:p>
    <w:p w14:paraId="38894546" w14:textId="77777777" w:rsidR="00D4691B" w:rsidRPr="009A353D" w:rsidRDefault="00D4691B" w:rsidP="00D4691B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  <w:bCs/>
        </w:rPr>
        <w:t>Provozovatel</w:t>
      </w:r>
      <w:r w:rsidRPr="009A353D">
        <w:rPr>
          <w:rFonts w:ascii="Arial" w:hAnsi="Arial" w:cs="Arial"/>
        </w:rPr>
        <w:t xml:space="preserve"> </w:t>
      </w:r>
      <w:proofErr w:type="gramStart"/>
      <w:r w:rsidR="00A475E4" w:rsidRPr="009A353D">
        <w:rPr>
          <w:rFonts w:ascii="Arial" w:hAnsi="Arial" w:cs="Arial"/>
          <w:b/>
        </w:rPr>
        <w:t>tržiště</w:t>
      </w:r>
      <w:r w:rsidR="00A475E4" w:rsidRPr="009A353D">
        <w:rPr>
          <w:rFonts w:ascii="Arial" w:hAnsi="Arial" w:cs="Arial"/>
        </w:rPr>
        <w:t xml:space="preserve"> </w:t>
      </w:r>
      <w:r w:rsidRPr="009A353D">
        <w:rPr>
          <w:rFonts w:ascii="Arial" w:hAnsi="Arial" w:cs="Arial"/>
        </w:rPr>
        <w:t>- je</w:t>
      </w:r>
      <w:proofErr w:type="gramEnd"/>
      <w:r w:rsidRPr="009A353D">
        <w:rPr>
          <w:rFonts w:ascii="Arial" w:hAnsi="Arial" w:cs="Arial"/>
        </w:rPr>
        <w:t xml:space="preserve"> fyzická nebo právnická osoba, která pronajímá (</w:t>
      </w:r>
      <w:proofErr w:type="spellStart"/>
      <w:r w:rsidRPr="009A353D">
        <w:rPr>
          <w:rFonts w:ascii="Arial" w:hAnsi="Arial" w:cs="Arial"/>
        </w:rPr>
        <w:t>podnajímá</w:t>
      </w:r>
      <w:proofErr w:type="spellEnd"/>
      <w:r w:rsidRPr="009A353D">
        <w:rPr>
          <w:rFonts w:ascii="Arial" w:hAnsi="Arial" w:cs="Arial"/>
        </w:rPr>
        <w:t>) prodejní místa na tržišti nebo tržním místě umístěném na vlastním nebo pronajatém pozemku jednotlivým prodejcům nebo poskytovatelům služeb nebo tato prodejní místa sama provozuje.</w:t>
      </w:r>
    </w:p>
    <w:p w14:paraId="0533565D" w14:textId="77777777" w:rsidR="00640235" w:rsidRPr="009A353D" w:rsidRDefault="00640235" w:rsidP="008D3552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</w:rPr>
        <w:t>Prodejní zařízení</w:t>
      </w:r>
      <w:r w:rsidRPr="009A353D">
        <w:rPr>
          <w:rFonts w:ascii="Arial" w:hAnsi="Arial" w:cs="Arial"/>
        </w:rPr>
        <w:t xml:space="preserve"> – jakékoliv zařízení sloužící k prodeji, jehož umístěním dochází k</w:t>
      </w:r>
      <w:r w:rsidR="00342C3A" w:rsidRPr="009A353D">
        <w:rPr>
          <w:rFonts w:ascii="Arial" w:hAnsi="Arial" w:cs="Arial"/>
        </w:rPr>
        <w:t> </w:t>
      </w:r>
      <w:r w:rsidRPr="009A353D">
        <w:rPr>
          <w:rFonts w:ascii="Arial" w:hAnsi="Arial" w:cs="Arial"/>
        </w:rPr>
        <w:t xml:space="preserve">záboru prostranství nebo prostoru nad ním, zejména stánek, přenosný stánek, stůl, pult, účelově upravený a vybavený vozík, stojan, tyč a další obdobná zařízení. Prodejním zařízením je rovněž automobil, přívěs nebo jiné silniční vozidlo sloužící k prodeji nebo poskytování služeb. </w:t>
      </w:r>
    </w:p>
    <w:p w14:paraId="1D84EFA6" w14:textId="5AAEB7A8" w:rsidR="00640235" w:rsidRPr="009A353D" w:rsidRDefault="00640235" w:rsidP="008D3552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</w:rPr>
        <w:t>Veřejné prostranství</w:t>
      </w:r>
      <w:r w:rsidRPr="009A353D">
        <w:rPr>
          <w:rFonts w:ascii="Arial" w:hAnsi="Arial" w:cs="Arial"/>
        </w:rPr>
        <w:t xml:space="preserve"> – místo, kterým se rozumí místní komunikace a veřejně přístupné účelové komunikace, včetně vozovek, chodníků, náměstí, průchodů, podloubí, proluky, a</w:t>
      </w:r>
      <w:r w:rsidR="00342C3A" w:rsidRPr="009A353D">
        <w:rPr>
          <w:rFonts w:ascii="Arial" w:hAnsi="Arial" w:cs="Arial"/>
        </w:rPr>
        <w:t> </w:t>
      </w:r>
      <w:r w:rsidRPr="009A353D">
        <w:rPr>
          <w:rFonts w:ascii="Arial" w:hAnsi="Arial" w:cs="Arial"/>
        </w:rPr>
        <w:t>dále tržiště, parky, sady, veřejná zeleň, jakož i další prostory přístupné každému bez</w:t>
      </w:r>
      <w:r w:rsidR="00342C3A" w:rsidRPr="009A353D">
        <w:rPr>
          <w:rFonts w:ascii="Arial" w:hAnsi="Arial" w:cs="Arial"/>
        </w:rPr>
        <w:t> </w:t>
      </w:r>
      <w:r w:rsidRPr="009A353D">
        <w:rPr>
          <w:rFonts w:ascii="Arial" w:hAnsi="Arial" w:cs="Arial"/>
        </w:rPr>
        <w:t>omezení, tedy sloužící obecnému užívání, a to bez ohledu na vlastnictví k tomuto prostoru.</w:t>
      </w:r>
      <w:r w:rsidRPr="009A353D">
        <w:rPr>
          <w:rFonts w:ascii="Arial" w:hAnsi="Arial" w:cs="Arial"/>
          <w:vertAlign w:val="superscript"/>
        </w:rPr>
        <w:footnoteReference w:id="2"/>
      </w:r>
      <w:r w:rsidR="00BD3A0A">
        <w:rPr>
          <w:rFonts w:ascii="Arial" w:hAnsi="Arial" w:cs="Arial"/>
          <w:vertAlign w:val="superscript"/>
        </w:rPr>
        <w:t>)</w:t>
      </w:r>
    </w:p>
    <w:p w14:paraId="0FEA802F" w14:textId="77777777" w:rsidR="00640235" w:rsidRPr="009A353D" w:rsidRDefault="00640235" w:rsidP="008D3552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</w:rPr>
        <w:t>Podomní prodej</w:t>
      </w:r>
      <w:r w:rsidRPr="009A353D">
        <w:rPr>
          <w:rFonts w:ascii="Arial" w:hAnsi="Arial" w:cs="Arial"/>
        </w:rPr>
        <w:t xml:space="preserve"> – </w:t>
      </w:r>
      <w:r w:rsidR="00A475E4" w:rsidRPr="009A353D">
        <w:rPr>
          <w:rFonts w:ascii="Arial" w:hAnsi="Arial" w:cs="Arial"/>
        </w:rPr>
        <w:t>nabídka a prodej zboží a nabídka a poskytování služeb fyzickými a právnickými osobami mimo provozovnu uskutečňované formou obchůzky jednotlivých bytů, domů, budov bez předchozí objednávky.</w:t>
      </w:r>
    </w:p>
    <w:p w14:paraId="32444C7D" w14:textId="77777777" w:rsidR="00640235" w:rsidRPr="009A353D" w:rsidRDefault="00640235" w:rsidP="008D3552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  <w:b/>
        </w:rPr>
        <w:t>Pochůzkový prodej</w:t>
      </w:r>
      <w:r w:rsidRPr="009A353D">
        <w:rPr>
          <w:rFonts w:ascii="Arial" w:hAnsi="Arial" w:cs="Arial"/>
        </w:rPr>
        <w:t xml:space="preserve"> – </w:t>
      </w:r>
      <w:r w:rsidR="009C4620" w:rsidRPr="009A353D">
        <w:rPr>
          <w:rFonts w:ascii="Arial" w:hAnsi="Arial" w:cs="Arial"/>
        </w:rPr>
        <w:t xml:space="preserve">je prodej zboží a poskytování služeb </w:t>
      </w:r>
      <w:r w:rsidR="00A475E4" w:rsidRPr="009A353D">
        <w:rPr>
          <w:rFonts w:ascii="Arial" w:hAnsi="Arial" w:cs="Arial"/>
        </w:rPr>
        <w:t xml:space="preserve">nebo nabízení prodeje zboží či poskytování služeb fyzickými a právnickými osobami </w:t>
      </w:r>
      <w:r w:rsidR="009C4620" w:rsidRPr="009A353D">
        <w:rPr>
          <w:rFonts w:ascii="Arial" w:hAnsi="Arial" w:cs="Arial"/>
        </w:rPr>
        <w:t>mimo provozovnu určenou k tomuto účelu rozhodnutím, opatřením nebo jiným úkonem vyžadovaným stavebním zákonem</w:t>
      </w:r>
      <w:r w:rsidR="009C4620" w:rsidRPr="009A353D">
        <w:rPr>
          <w:rFonts w:ascii="Arial" w:hAnsi="Arial" w:cs="Arial"/>
          <w:vertAlign w:val="superscript"/>
        </w:rPr>
        <w:t>1</w:t>
      </w:r>
      <w:r w:rsidR="00825196" w:rsidRPr="00825196">
        <w:rPr>
          <w:rFonts w:ascii="Arial" w:hAnsi="Arial" w:cs="Arial"/>
          <w:vertAlign w:val="superscript"/>
        </w:rPr>
        <w:t>)</w:t>
      </w:r>
      <w:r w:rsidR="009C4620" w:rsidRPr="009A353D">
        <w:rPr>
          <w:rFonts w:ascii="Arial" w:hAnsi="Arial" w:cs="Arial"/>
        </w:rPr>
        <w:t>, provozovaný formou pochůzky na ulici, parkovišti či jiném veřejně přístupném místě, bez předchozí objednávky</w:t>
      </w:r>
      <w:r w:rsidR="00A475E4" w:rsidRPr="009A353D">
        <w:rPr>
          <w:rFonts w:ascii="Arial" w:hAnsi="Arial" w:cs="Arial"/>
        </w:rPr>
        <w:t xml:space="preserve"> spotřebitele, kdy není rozhodující, zda prodávající stojí na místě nebo se pohybuje. </w:t>
      </w:r>
    </w:p>
    <w:p w14:paraId="013720D8" w14:textId="77777777" w:rsidR="00640235" w:rsidRPr="009A353D" w:rsidRDefault="00640235" w:rsidP="00640235">
      <w:pPr>
        <w:spacing w:after="120" w:line="240" w:lineRule="auto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 xml:space="preserve"> </w:t>
      </w:r>
    </w:p>
    <w:p w14:paraId="3AF3B23F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t>Čl.</w:t>
      </w:r>
      <w:r w:rsidR="00640235" w:rsidRPr="009A353D">
        <w:rPr>
          <w:rFonts w:ascii="Arial" w:hAnsi="Arial" w:cs="Arial"/>
        </w:rPr>
        <w:t xml:space="preserve"> 4</w:t>
      </w:r>
    </w:p>
    <w:p w14:paraId="3209E212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 xml:space="preserve">Místa stanovená pro prodej zboží a poskytování služeb </w:t>
      </w:r>
    </w:p>
    <w:p w14:paraId="4032A0E9" w14:textId="77777777" w:rsidR="000C3D8B" w:rsidRPr="009F1685" w:rsidRDefault="00640235" w:rsidP="009F1685">
      <w:pPr>
        <w:spacing w:after="120" w:line="240" w:lineRule="auto"/>
        <w:ind w:left="340"/>
        <w:jc w:val="both"/>
        <w:rPr>
          <w:rFonts w:ascii="Arial" w:hAnsi="Arial" w:cs="Arial"/>
        </w:rPr>
      </w:pPr>
      <w:r w:rsidRPr="004E16B6">
        <w:rPr>
          <w:rFonts w:ascii="Arial" w:hAnsi="Arial" w:cs="Arial"/>
        </w:rPr>
        <w:t xml:space="preserve">Prodej zboží a poskytování služeb </w:t>
      </w:r>
      <w:r w:rsidR="00F005BE" w:rsidRPr="004E16B6">
        <w:rPr>
          <w:rFonts w:ascii="Arial" w:hAnsi="Arial" w:cs="Arial"/>
        </w:rPr>
        <w:t xml:space="preserve">mimo provozovnu určenou k tomuto účelu </w:t>
      </w:r>
      <w:r w:rsidR="00607D4F">
        <w:rPr>
          <w:rFonts w:ascii="Arial" w:hAnsi="Arial" w:cs="Arial"/>
        </w:rPr>
        <w:t xml:space="preserve">    </w:t>
      </w:r>
      <w:r w:rsidR="00F005BE" w:rsidRPr="004E16B6">
        <w:rPr>
          <w:rFonts w:ascii="Arial" w:hAnsi="Arial" w:cs="Arial"/>
        </w:rPr>
        <w:t xml:space="preserve">rozhodnutím, opatřením nebo jiným úkonem vyžadovaným stavebním zákonem </w:t>
      </w:r>
      <w:r w:rsidRPr="004E16B6">
        <w:rPr>
          <w:rFonts w:ascii="Arial" w:hAnsi="Arial" w:cs="Arial"/>
        </w:rPr>
        <w:t xml:space="preserve">se uskutečňuje </w:t>
      </w:r>
      <w:r w:rsidR="00F005BE" w:rsidRPr="004E16B6">
        <w:rPr>
          <w:rFonts w:ascii="Arial" w:hAnsi="Arial" w:cs="Arial"/>
        </w:rPr>
        <w:t>na tržištích uvedených v</w:t>
      </w:r>
      <w:r w:rsidR="00A475E4" w:rsidRPr="004E16B6">
        <w:rPr>
          <w:rFonts w:ascii="Arial" w:hAnsi="Arial" w:cs="Arial"/>
        </w:rPr>
        <w:t> </w:t>
      </w:r>
      <w:r w:rsidR="00F005BE" w:rsidRPr="004E16B6">
        <w:rPr>
          <w:rFonts w:ascii="Arial" w:hAnsi="Arial" w:cs="Arial"/>
        </w:rPr>
        <w:t>příloze</w:t>
      </w:r>
      <w:r w:rsidR="00A475E4" w:rsidRPr="004E16B6">
        <w:rPr>
          <w:rFonts w:ascii="Arial" w:hAnsi="Arial" w:cs="Arial"/>
        </w:rPr>
        <w:t xml:space="preserve"> k tomuto</w:t>
      </w:r>
      <w:r w:rsidR="00F005BE" w:rsidRPr="004E16B6">
        <w:rPr>
          <w:rFonts w:ascii="Arial" w:hAnsi="Arial" w:cs="Arial"/>
        </w:rPr>
        <w:t xml:space="preserve"> nařízení. </w:t>
      </w:r>
    </w:p>
    <w:p w14:paraId="7153D259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lastRenderedPageBreak/>
        <w:t>Čl.</w:t>
      </w:r>
      <w:r w:rsidR="00640235" w:rsidRPr="009A353D">
        <w:rPr>
          <w:rFonts w:ascii="Arial" w:hAnsi="Arial" w:cs="Arial"/>
        </w:rPr>
        <w:t xml:space="preserve"> 5</w:t>
      </w:r>
    </w:p>
    <w:p w14:paraId="37B99A04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>Stanovení kapacity tržišť</w:t>
      </w:r>
    </w:p>
    <w:p w14:paraId="665664B1" w14:textId="77777777" w:rsidR="00640235" w:rsidRPr="009A353D" w:rsidRDefault="009F1685" w:rsidP="00A475E4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6FBE" w:rsidRPr="009A353D">
        <w:rPr>
          <w:rFonts w:ascii="Arial" w:hAnsi="Arial" w:cs="Arial"/>
        </w:rPr>
        <w:t>K</w:t>
      </w:r>
      <w:r w:rsidR="00640235" w:rsidRPr="009A353D">
        <w:rPr>
          <w:rFonts w:ascii="Arial" w:hAnsi="Arial" w:cs="Arial"/>
        </w:rPr>
        <w:t xml:space="preserve">apacita tržišť je </w:t>
      </w:r>
      <w:r w:rsidR="00B536C7">
        <w:rPr>
          <w:rFonts w:ascii="Arial" w:hAnsi="Arial" w:cs="Arial"/>
        </w:rPr>
        <w:t>uvedena v příloze</w:t>
      </w:r>
      <w:r w:rsidR="00856FBE" w:rsidRPr="009A353D">
        <w:rPr>
          <w:rFonts w:ascii="Arial" w:hAnsi="Arial" w:cs="Arial"/>
        </w:rPr>
        <w:t xml:space="preserve"> </w:t>
      </w:r>
      <w:r w:rsidR="00A475E4" w:rsidRPr="009A353D">
        <w:rPr>
          <w:rFonts w:ascii="Arial" w:hAnsi="Arial" w:cs="Arial"/>
        </w:rPr>
        <w:t xml:space="preserve">k tomuto </w:t>
      </w:r>
      <w:r w:rsidR="00640235" w:rsidRPr="009A353D">
        <w:rPr>
          <w:rFonts w:ascii="Arial" w:hAnsi="Arial" w:cs="Arial"/>
        </w:rPr>
        <w:t>nařízení.</w:t>
      </w:r>
    </w:p>
    <w:p w14:paraId="1B61C0F5" w14:textId="77777777" w:rsidR="00640235" w:rsidRPr="009A353D" w:rsidRDefault="00640235" w:rsidP="00640235">
      <w:pPr>
        <w:spacing w:after="120" w:line="240" w:lineRule="auto"/>
        <w:rPr>
          <w:rFonts w:ascii="Arial" w:hAnsi="Arial" w:cs="Arial"/>
        </w:rPr>
      </w:pPr>
    </w:p>
    <w:p w14:paraId="103424A3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t>Čl.</w:t>
      </w:r>
      <w:r w:rsidR="00640235" w:rsidRPr="009A353D">
        <w:rPr>
          <w:rFonts w:ascii="Arial" w:hAnsi="Arial" w:cs="Arial"/>
        </w:rPr>
        <w:t xml:space="preserve"> 6</w:t>
      </w:r>
    </w:p>
    <w:p w14:paraId="3B6E4C72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 xml:space="preserve">Doba prodeje zboží a poskytování služeb </w:t>
      </w:r>
    </w:p>
    <w:p w14:paraId="117772FB" w14:textId="0B29A387" w:rsidR="00E06C53" w:rsidRPr="009A353D" w:rsidRDefault="009C4620" w:rsidP="009F1685">
      <w:pPr>
        <w:pStyle w:val="Odstavecseseznamem"/>
        <w:numPr>
          <w:ilvl w:val="0"/>
          <w:numId w:val="17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Doba prodeje zboží a poskytování služeb na místech pro prodej zboží a poskytování služeb mimo provozovnu určenou k tomuto účelu rozhodnutím, opatřením nebo jiným úkonem vyžadovaným stavebním zákonem</w:t>
      </w:r>
      <w:r w:rsidR="00BD3A0A">
        <w:rPr>
          <w:rFonts w:ascii="Arial" w:hAnsi="Arial" w:cs="Arial"/>
          <w:vertAlign w:val="superscript"/>
        </w:rPr>
        <w:t>1</w:t>
      </w:r>
      <w:r w:rsidR="00825196" w:rsidRPr="00825196">
        <w:rPr>
          <w:rFonts w:ascii="Arial" w:hAnsi="Arial" w:cs="Arial"/>
          <w:vertAlign w:val="superscript"/>
        </w:rPr>
        <w:t>)</w:t>
      </w:r>
      <w:r w:rsidRPr="009A353D">
        <w:rPr>
          <w:rFonts w:ascii="Arial" w:hAnsi="Arial" w:cs="Arial"/>
        </w:rPr>
        <w:t xml:space="preserve"> se stanovuje celoročně na dobu od 7.00 do 19.00 hod., pokud není dále stanoveno jinak. </w:t>
      </w:r>
    </w:p>
    <w:p w14:paraId="2E82B830" w14:textId="77777777" w:rsidR="007F42F4" w:rsidRPr="009A353D" w:rsidRDefault="007F42F4" w:rsidP="009F1685">
      <w:pPr>
        <w:pStyle w:val="Odstavecseseznamem"/>
        <w:numPr>
          <w:ilvl w:val="0"/>
          <w:numId w:val="17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Restaurační předzahrád</w:t>
      </w:r>
      <w:r w:rsidR="007B539C" w:rsidRPr="009A353D">
        <w:rPr>
          <w:rFonts w:ascii="Arial" w:hAnsi="Arial" w:cs="Arial"/>
        </w:rPr>
        <w:t xml:space="preserve">ky mohou být provozovány v době od 1.dubna do 31.října denně od 8.00 do 24.00 hod. </w:t>
      </w:r>
      <w:r w:rsidRPr="009A353D">
        <w:rPr>
          <w:rFonts w:ascii="Arial" w:hAnsi="Arial" w:cs="Arial"/>
        </w:rPr>
        <w:t xml:space="preserve">  </w:t>
      </w:r>
    </w:p>
    <w:p w14:paraId="67E0DB55" w14:textId="77777777" w:rsidR="00640235" w:rsidRPr="009A353D" w:rsidRDefault="00640235" w:rsidP="00640235">
      <w:pPr>
        <w:spacing w:after="120" w:line="240" w:lineRule="auto"/>
        <w:rPr>
          <w:rFonts w:ascii="Arial" w:hAnsi="Arial" w:cs="Arial"/>
          <w:b/>
          <w:bCs/>
        </w:rPr>
      </w:pPr>
    </w:p>
    <w:p w14:paraId="384B3A2D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t>Čl.</w:t>
      </w:r>
      <w:r w:rsidR="00640235" w:rsidRPr="009A353D">
        <w:rPr>
          <w:rFonts w:ascii="Arial" w:hAnsi="Arial" w:cs="Arial"/>
        </w:rPr>
        <w:t xml:space="preserve"> 7</w:t>
      </w:r>
    </w:p>
    <w:p w14:paraId="39039236" w14:textId="77777777" w:rsidR="00640235" w:rsidRPr="009A353D" w:rsidRDefault="00640235" w:rsidP="00F652DE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>Pravidla pro udržování čistoty a bezpečnosti na tržištích</w:t>
      </w:r>
    </w:p>
    <w:p w14:paraId="590CEE7E" w14:textId="77777777" w:rsidR="00640235" w:rsidRPr="009A353D" w:rsidRDefault="00640235" w:rsidP="009F1685">
      <w:pPr>
        <w:pStyle w:val="Odstavecseseznamem"/>
        <w:numPr>
          <w:ilvl w:val="0"/>
          <w:numId w:val="12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 xml:space="preserve">Při prodeji zboží a poskytování služeb na tržištích </w:t>
      </w:r>
      <w:r w:rsidR="00CA411F" w:rsidRPr="009A353D">
        <w:rPr>
          <w:rFonts w:ascii="Arial" w:hAnsi="Arial" w:cs="Arial"/>
        </w:rPr>
        <w:t>jsou všechny zúčastněné osoby (provozovatelé, prodejci a poskytovatelé služeb) povinny</w:t>
      </w:r>
      <w:r w:rsidR="00E119A1" w:rsidRPr="009A353D">
        <w:rPr>
          <w:rFonts w:ascii="Arial" w:hAnsi="Arial" w:cs="Arial"/>
        </w:rPr>
        <w:t>:</w:t>
      </w:r>
    </w:p>
    <w:p w14:paraId="60263F8C" w14:textId="77777777" w:rsidR="00640235" w:rsidRPr="009A353D" w:rsidRDefault="00640235" w:rsidP="008D3552">
      <w:pPr>
        <w:pStyle w:val="Odstavecseseznamem"/>
        <w:numPr>
          <w:ilvl w:val="0"/>
          <w:numId w:val="14"/>
        </w:numPr>
        <w:spacing w:after="12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dodržovat pravidla hygieny a na prodejních místech udržovat prodejní zařízení a jeho bezprostřední okolí v čistotě průběžným úklidem a odstraňováním odpadů a obalů v souladu s příslušnými jinými právními předpisy,</w:t>
      </w:r>
    </w:p>
    <w:p w14:paraId="3660CDA7" w14:textId="77777777" w:rsidR="00640235" w:rsidRPr="009A353D" w:rsidRDefault="00640235" w:rsidP="008D3552">
      <w:pPr>
        <w:pStyle w:val="Odstavecseseznamem"/>
        <w:numPr>
          <w:ilvl w:val="0"/>
          <w:numId w:val="14"/>
        </w:numPr>
        <w:spacing w:after="12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prodej zboží a poskytování služeb organizovat tak, aby se jednotlivé druhy potravinářského zboží navzájem nevhodně neovlivňovaly, musí být chráněny před</w:t>
      </w:r>
      <w:r w:rsidR="00E119A1" w:rsidRPr="009A353D">
        <w:rPr>
          <w:rFonts w:ascii="Arial" w:hAnsi="Arial" w:cs="Arial"/>
        </w:rPr>
        <w:t> </w:t>
      </w:r>
      <w:r w:rsidRPr="009A353D">
        <w:rPr>
          <w:rFonts w:ascii="Arial" w:hAnsi="Arial" w:cs="Arial"/>
        </w:rPr>
        <w:t>přímými slunečními paprsky a jinými povětrnostními vlivy,</w:t>
      </w:r>
    </w:p>
    <w:p w14:paraId="3ABE59CF" w14:textId="77777777" w:rsidR="00640235" w:rsidRPr="009A353D" w:rsidRDefault="00640235" w:rsidP="008D3552">
      <w:pPr>
        <w:pStyle w:val="Odstavecseseznamem"/>
        <w:numPr>
          <w:ilvl w:val="0"/>
          <w:numId w:val="14"/>
        </w:numPr>
        <w:spacing w:after="12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prodejní sortiment ukládat pouze na prodejních zařízeních a neskladovat v jeho okolí; sortiment ukládat tak, aby nebránil provozu,</w:t>
      </w:r>
    </w:p>
    <w:p w14:paraId="33882162" w14:textId="77777777" w:rsidR="00640235" w:rsidRPr="009A353D" w:rsidRDefault="00640235" w:rsidP="008D3552">
      <w:pPr>
        <w:pStyle w:val="Odstavecseseznamem"/>
        <w:numPr>
          <w:ilvl w:val="0"/>
          <w:numId w:val="14"/>
        </w:numPr>
        <w:spacing w:after="120" w:line="240" w:lineRule="auto"/>
        <w:ind w:left="568" w:hanging="284"/>
        <w:contextualSpacing w:val="0"/>
        <w:rPr>
          <w:rFonts w:ascii="Arial" w:hAnsi="Arial" w:cs="Arial"/>
        </w:rPr>
      </w:pPr>
      <w:r w:rsidRPr="009A353D">
        <w:rPr>
          <w:rFonts w:ascii="Arial" w:hAnsi="Arial" w:cs="Arial"/>
        </w:rPr>
        <w:t>prodejní zařízení umístit tak, aby byl okol</w:t>
      </w:r>
      <w:r w:rsidR="00A475E4" w:rsidRPr="009A353D">
        <w:rPr>
          <w:rFonts w:ascii="Arial" w:hAnsi="Arial" w:cs="Arial"/>
        </w:rPr>
        <w:t>o nich dostatečně volný průchod a</w:t>
      </w:r>
    </w:p>
    <w:p w14:paraId="08757583" w14:textId="77777777" w:rsidR="00640235" w:rsidRPr="009A353D" w:rsidRDefault="00640235" w:rsidP="008D3552">
      <w:pPr>
        <w:pStyle w:val="Odstavecseseznamem"/>
        <w:numPr>
          <w:ilvl w:val="0"/>
          <w:numId w:val="14"/>
        </w:numPr>
        <w:spacing w:after="120" w:line="240" w:lineRule="auto"/>
        <w:ind w:left="568" w:hanging="284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neparkovat motorovými vozidly, případně jinými vozidly včetně přívěsů, jimiž je dopravováno zboží, na místě prodeje, neslouží-li vozidlo nebo přívěs jako prodejní zařízení.</w:t>
      </w:r>
    </w:p>
    <w:p w14:paraId="1D29CBF4" w14:textId="77777777" w:rsidR="007B539C" w:rsidRPr="009A353D" w:rsidRDefault="007B539C" w:rsidP="009F1685">
      <w:pPr>
        <w:pStyle w:val="Odstavecseseznamem"/>
        <w:numPr>
          <w:ilvl w:val="0"/>
          <w:numId w:val="12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 xml:space="preserve">Po skončení prodejní doby je prodejce povinen zajistit úklid </w:t>
      </w:r>
      <w:r w:rsidR="00086E5C" w:rsidRPr="009A353D">
        <w:rPr>
          <w:rFonts w:ascii="Arial" w:hAnsi="Arial" w:cs="Arial"/>
        </w:rPr>
        <w:t>prodejního</w:t>
      </w:r>
      <w:r w:rsidRPr="009A353D">
        <w:rPr>
          <w:rFonts w:ascii="Arial" w:hAnsi="Arial" w:cs="Arial"/>
        </w:rPr>
        <w:t xml:space="preserve"> místa. </w:t>
      </w:r>
    </w:p>
    <w:p w14:paraId="67820D4E" w14:textId="77777777" w:rsidR="00824575" w:rsidRPr="009A353D" w:rsidRDefault="00824575">
      <w:pPr>
        <w:rPr>
          <w:rFonts w:ascii="Arial" w:hAnsi="Arial" w:cs="Arial"/>
        </w:rPr>
      </w:pPr>
    </w:p>
    <w:p w14:paraId="034555FC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t>Čl.</w:t>
      </w:r>
      <w:r w:rsidR="00640235" w:rsidRPr="009A353D">
        <w:rPr>
          <w:rFonts w:ascii="Arial" w:hAnsi="Arial" w:cs="Arial"/>
        </w:rPr>
        <w:t xml:space="preserve"> 8</w:t>
      </w:r>
    </w:p>
    <w:p w14:paraId="16006690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>Pravidla, která musí dodržet provozovatel tržišť k zajištění jejich řádného provozu</w:t>
      </w:r>
    </w:p>
    <w:p w14:paraId="286B56C4" w14:textId="77777777" w:rsidR="00640235" w:rsidRPr="009A353D" w:rsidRDefault="00640235" w:rsidP="009F1685">
      <w:pPr>
        <w:pStyle w:val="Odstavecseseznamem"/>
        <w:numPr>
          <w:ilvl w:val="0"/>
          <w:numId w:val="13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 xml:space="preserve">Provozovatel </w:t>
      </w:r>
      <w:r w:rsidR="007F42F4" w:rsidRPr="009A353D">
        <w:rPr>
          <w:rFonts w:ascii="Arial" w:hAnsi="Arial" w:cs="Arial"/>
        </w:rPr>
        <w:t xml:space="preserve">tržiště </w:t>
      </w:r>
      <w:r w:rsidRPr="009A353D">
        <w:rPr>
          <w:rFonts w:ascii="Arial" w:hAnsi="Arial" w:cs="Arial"/>
        </w:rPr>
        <w:t>řídí, organizuje a kontroluje provoz tržiště a zodpovídá za jejich správný chod v souladu s podmínkami určenými tímto tržním řádem a jinými právními předpisy, které se vztahují na zajištění jejich řádného provozu.</w:t>
      </w:r>
    </w:p>
    <w:p w14:paraId="38EC6D61" w14:textId="77777777" w:rsidR="00640235" w:rsidRPr="009A353D" w:rsidRDefault="00640235" w:rsidP="009F1685">
      <w:pPr>
        <w:pStyle w:val="Odstavecseseznamem"/>
        <w:numPr>
          <w:ilvl w:val="0"/>
          <w:numId w:val="13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Provozovatel tržiště je povinen tento tržní řád v platném znění zpřístupnit k nahlédnutí prodejcům i spotřebitelům po celou provozní dobu na</w:t>
      </w:r>
      <w:r w:rsidRPr="009A353D">
        <w:rPr>
          <w:rFonts w:ascii="Arial" w:hAnsi="Arial" w:cs="Arial"/>
          <w:b/>
        </w:rPr>
        <w:t xml:space="preserve"> </w:t>
      </w:r>
      <w:r w:rsidRPr="009A353D">
        <w:rPr>
          <w:rFonts w:ascii="Arial" w:hAnsi="Arial" w:cs="Arial"/>
        </w:rPr>
        <w:t>přístupném míst</w:t>
      </w:r>
      <w:r w:rsidR="007F42F4" w:rsidRPr="009A353D">
        <w:rPr>
          <w:rFonts w:ascii="Arial" w:hAnsi="Arial" w:cs="Arial"/>
        </w:rPr>
        <w:t xml:space="preserve">ě. </w:t>
      </w:r>
    </w:p>
    <w:p w14:paraId="612CE359" w14:textId="77777777" w:rsidR="00640235" w:rsidRPr="009A353D" w:rsidRDefault="00640235" w:rsidP="009F1685">
      <w:pPr>
        <w:pStyle w:val="Odstavecseseznamem"/>
        <w:numPr>
          <w:ilvl w:val="0"/>
          <w:numId w:val="13"/>
        </w:numPr>
        <w:spacing w:after="120" w:line="240" w:lineRule="auto"/>
        <w:ind w:left="397" w:hanging="397"/>
        <w:contextualSpacing w:val="0"/>
        <w:rPr>
          <w:rFonts w:ascii="Arial" w:hAnsi="Arial" w:cs="Arial"/>
        </w:rPr>
      </w:pPr>
      <w:r w:rsidRPr="009A353D">
        <w:rPr>
          <w:rFonts w:ascii="Arial" w:hAnsi="Arial" w:cs="Arial"/>
        </w:rPr>
        <w:t xml:space="preserve">Provozovatel </w:t>
      </w:r>
      <w:r w:rsidR="00A475E4" w:rsidRPr="009A353D">
        <w:rPr>
          <w:rFonts w:ascii="Arial" w:hAnsi="Arial" w:cs="Arial"/>
        </w:rPr>
        <w:t xml:space="preserve">tržiště </w:t>
      </w:r>
      <w:r w:rsidRPr="009A353D">
        <w:rPr>
          <w:rFonts w:ascii="Arial" w:hAnsi="Arial" w:cs="Arial"/>
        </w:rPr>
        <w:t>je dále povinen:</w:t>
      </w:r>
    </w:p>
    <w:p w14:paraId="121AC79E" w14:textId="77777777" w:rsidR="00640235" w:rsidRPr="009A353D" w:rsidRDefault="00640235" w:rsidP="008D3552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určit prodejcům na základě jejich žádosti konkrétní prodejní místa dle kapacity tržiště,</w:t>
      </w:r>
    </w:p>
    <w:p w14:paraId="2868BCA9" w14:textId="77777777" w:rsidR="00640235" w:rsidRPr="009A353D" w:rsidRDefault="00640235" w:rsidP="008D3552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zajistit, aby prodávající zabíral pouze plochu vymezenou příslušným prodejním místem a neblokoval jiné prodejní místo,</w:t>
      </w:r>
    </w:p>
    <w:p w14:paraId="551A6514" w14:textId="77777777" w:rsidR="00640235" w:rsidRPr="009A353D" w:rsidRDefault="00640235" w:rsidP="008D3552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lastRenderedPageBreak/>
        <w:t xml:space="preserve">dbát na úpravu tržiště tak, aby jejich </w:t>
      </w:r>
      <w:r w:rsidR="006E05BA" w:rsidRPr="009A353D">
        <w:rPr>
          <w:rFonts w:ascii="Arial" w:hAnsi="Arial" w:cs="Arial"/>
        </w:rPr>
        <w:t xml:space="preserve">celkový </w:t>
      </w:r>
      <w:r w:rsidRPr="009A353D">
        <w:rPr>
          <w:rFonts w:ascii="Arial" w:hAnsi="Arial" w:cs="Arial"/>
        </w:rPr>
        <w:t>vzhled působil uspořádaně a přehledně,</w:t>
      </w:r>
    </w:p>
    <w:p w14:paraId="70A48741" w14:textId="77777777" w:rsidR="00640235" w:rsidRPr="009A353D" w:rsidRDefault="00640235" w:rsidP="008D3552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zajistit, aby prodejci byla dodržována ustanovení čl. 6 a čl. 7 tohoto tržního řádu a</w:t>
      </w:r>
      <w:r w:rsidR="004B59F1" w:rsidRPr="009A353D">
        <w:rPr>
          <w:rFonts w:ascii="Arial" w:hAnsi="Arial" w:cs="Arial"/>
        </w:rPr>
        <w:t> </w:t>
      </w:r>
      <w:r w:rsidRPr="009A353D">
        <w:rPr>
          <w:rFonts w:ascii="Arial" w:hAnsi="Arial" w:cs="Arial"/>
        </w:rPr>
        <w:t>nebyl realizován prodej zboží nebo poskytování služeb mimo prodejní zařízení,</w:t>
      </w:r>
    </w:p>
    <w:p w14:paraId="72E5C464" w14:textId="77777777" w:rsidR="00640235" w:rsidRPr="009A353D" w:rsidRDefault="00640235" w:rsidP="008D3552">
      <w:pPr>
        <w:numPr>
          <w:ilvl w:val="0"/>
          <w:numId w:val="2"/>
        </w:numPr>
        <w:spacing w:after="120" w:line="240" w:lineRule="auto"/>
        <w:ind w:left="567" w:hanging="283"/>
        <w:rPr>
          <w:rFonts w:ascii="Arial" w:hAnsi="Arial" w:cs="Arial"/>
        </w:rPr>
      </w:pPr>
      <w:r w:rsidRPr="009A353D">
        <w:rPr>
          <w:rFonts w:ascii="Arial" w:hAnsi="Arial" w:cs="Arial"/>
        </w:rPr>
        <w:t xml:space="preserve">zajistit dostatečnou průchodnost </w:t>
      </w:r>
      <w:r w:rsidR="00A475E4" w:rsidRPr="009A353D">
        <w:rPr>
          <w:rFonts w:ascii="Arial" w:hAnsi="Arial" w:cs="Arial"/>
        </w:rPr>
        <w:t>mezi řadami prodejních zařízení a</w:t>
      </w:r>
      <w:r w:rsidRPr="009A353D">
        <w:rPr>
          <w:rFonts w:ascii="Arial" w:hAnsi="Arial" w:cs="Arial"/>
        </w:rPr>
        <w:t xml:space="preserve"> </w:t>
      </w:r>
    </w:p>
    <w:p w14:paraId="73AC333A" w14:textId="77777777" w:rsidR="00F652DE" w:rsidRPr="009A353D" w:rsidRDefault="00640235" w:rsidP="007B539C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dbát na to, aby nebylo zboží odkládáno do přilehlých ploch zeleně a aby přes tyto plochy nebylo naváženo nebo jinak dopravováno zboží.</w:t>
      </w:r>
    </w:p>
    <w:p w14:paraId="30361E80" w14:textId="77777777" w:rsidR="00856FBE" w:rsidRPr="009A353D" w:rsidRDefault="00856FBE" w:rsidP="00856FBE">
      <w:pPr>
        <w:spacing w:after="120" w:line="240" w:lineRule="auto"/>
        <w:ind w:left="567"/>
        <w:jc w:val="both"/>
        <w:rPr>
          <w:rFonts w:ascii="Arial" w:hAnsi="Arial" w:cs="Arial"/>
        </w:rPr>
      </w:pPr>
    </w:p>
    <w:p w14:paraId="273CD3AB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t>Čl.</w:t>
      </w:r>
      <w:r w:rsidR="00640235" w:rsidRPr="009A353D">
        <w:rPr>
          <w:rFonts w:ascii="Arial" w:hAnsi="Arial" w:cs="Arial"/>
        </w:rPr>
        <w:t xml:space="preserve"> 9</w:t>
      </w:r>
    </w:p>
    <w:p w14:paraId="6390FF51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>Zákaz podomního a pochůzkového prodeje</w:t>
      </w:r>
    </w:p>
    <w:p w14:paraId="4C9FA91B" w14:textId="77777777" w:rsidR="00640235" w:rsidRPr="009A353D" w:rsidRDefault="00640235" w:rsidP="009F1685">
      <w:pPr>
        <w:pStyle w:val="Odstavecseseznamem"/>
        <w:numPr>
          <w:ilvl w:val="0"/>
          <w:numId w:val="10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 xml:space="preserve">Na území </w:t>
      </w:r>
      <w:r w:rsidR="007F42F4" w:rsidRPr="009A353D">
        <w:rPr>
          <w:rFonts w:ascii="Arial" w:hAnsi="Arial" w:cs="Arial"/>
        </w:rPr>
        <w:t>obce Krumvíř</w:t>
      </w:r>
      <w:r w:rsidRPr="009A353D">
        <w:rPr>
          <w:rFonts w:ascii="Arial" w:hAnsi="Arial" w:cs="Arial"/>
        </w:rPr>
        <w:t>, bez ohledu na charakter prostranství a vlastnictví k němu, se podomní prodej a pochůzkový prodej zakazují.</w:t>
      </w:r>
    </w:p>
    <w:p w14:paraId="2427531E" w14:textId="74663168" w:rsidR="00850E97" w:rsidRPr="009A353D" w:rsidRDefault="00A475E4" w:rsidP="009F1685">
      <w:pPr>
        <w:pStyle w:val="Odstavecseseznamem"/>
        <w:numPr>
          <w:ilvl w:val="0"/>
          <w:numId w:val="10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 xml:space="preserve">Zákaz uvedený v předchozím odstavci </w:t>
      </w:r>
      <w:r w:rsidR="00640235" w:rsidRPr="009A353D">
        <w:rPr>
          <w:rFonts w:ascii="Arial" w:hAnsi="Arial" w:cs="Arial"/>
        </w:rPr>
        <w:t>se nevztahuje</w:t>
      </w:r>
      <w:r w:rsidR="00850E97" w:rsidRPr="009A353D">
        <w:rPr>
          <w:rFonts w:ascii="Arial" w:hAnsi="Arial" w:cs="Arial"/>
        </w:rPr>
        <w:t xml:space="preserve"> na</w:t>
      </w:r>
      <w:r w:rsidR="007F42F4" w:rsidRPr="009A353D">
        <w:rPr>
          <w:rFonts w:ascii="Arial" w:hAnsi="Arial" w:cs="Arial"/>
        </w:rPr>
        <w:t xml:space="preserve"> </w:t>
      </w:r>
      <w:r w:rsidR="00640235" w:rsidRPr="009A353D">
        <w:rPr>
          <w:rFonts w:ascii="Arial" w:hAnsi="Arial" w:cs="Arial"/>
        </w:rPr>
        <w:t>akce organizované podle zákona č. 117/2001 Sb., o veřejných sbírkách a o změně některých zákonů</w:t>
      </w:r>
      <w:r w:rsidR="00BD3A0A">
        <w:rPr>
          <w:rFonts w:ascii="Arial" w:hAnsi="Arial" w:cs="Arial"/>
        </w:rPr>
        <w:t xml:space="preserve"> (zákon o veřejných sbírkách)</w:t>
      </w:r>
      <w:r w:rsidR="00640235" w:rsidRPr="009A353D">
        <w:rPr>
          <w:rFonts w:ascii="Arial" w:hAnsi="Arial" w:cs="Arial"/>
        </w:rPr>
        <w:t>, ve znění pozdějších předpisů</w:t>
      </w:r>
      <w:r w:rsidR="007F42F4" w:rsidRPr="009A353D">
        <w:rPr>
          <w:rFonts w:ascii="Arial" w:hAnsi="Arial" w:cs="Arial"/>
        </w:rPr>
        <w:t xml:space="preserve">. </w:t>
      </w:r>
    </w:p>
    <w:p w14:paraId="13AC655E" w14:textId="77777777" w:rsidR="007F42F4" w:rsidRPr="009A353D" w:rsidRDefault="007F42F4" w:rsidP="00640235">
      <w:pPr>
        <w:spacing w:after="120" w:line="240" w:lineRule="auto"/>
        <w:jc w:val="center"/>
        <w:rPr>
          <w:rFonts w:ascii="Arial" w:hAnsi="Arial" w:cs="Arial"/>
        </w:rPr>
      </w:pPr>
    </w:p>
    <w:p w14:paraId="57B974DB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t>Čl.</w:t>
      </w:r>
      <w:r w:rsidR="00640235" w:rsidRPr="009A353D">
        <w:rPr>
          <w:rFonts w:ascii="Arial" w:hAnsi="Arial" w:cs="Arial"/>
        </w:rPr>
        <w:t xml:space="preserve"> 10</w:t>
      </w:r>
    </w:p>
    <w:p w14:paraId="00C4C7C2" w14:textId="77777777" w:rsidR="00640235" w:rsidRPr="009A353D" w:rsidRDefault="00E20641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</w:rPr>
        <w:t>Formy</w:t>
      </w:r>
      <w:r w:rsidR="00640235" w:rsidRPr="009A353D">
        <w:rPr>
          <w:rFonts w:ascii="Arial" w:hAnsi="Arial" w:cs="Arial"/>
          <w:b/>
        </w:rPr>
        <w:t xml:space="preserve"> prodeje zboží a poskytování služeb, na které se toto nařízení nevztahuje</w:t>
      </w:r>
    </w:p>
    <w:p w14:paraId="18301AEC" w14:textId="77777777" w:rsidR="00640235" w:rsidRPr="009A353D" w:rsidRDefault="00640235" w:rsidP="009F1685">
      <w:pPr>
        <w:pStyle w:val="Odstavecseseznamem"/>
        <w:numPr>
          <w:ilvl w:val="0"/>
          <w:numId w:val="11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Toto nařízení se nevztahuje na vánoční prodej ryb a</w:t>
      </w:r>
      <w:r w:rsidR="00B07C23" w:rsidRPr="009A353D">
        <w:rPr>
          <w:rFonts w:ascii="Arial" w:hAnsi="Arial" w:cs="Arial"/>
        </w:rPr>
        <w:t> </w:t>
      </w:r>
      <w:r w:rsidRPr="009A353D">
        <w:rPr>
          <w:rFonts w:ascii="Arial" w:hAnsi="Arial" w:cs="Arial"/>
        </w:rPr>
        <w:t>stromků, jmelí a chvojí, na velikonoční prodej kraslic a pomlázek a na prodej v pojízdné prodejně a obdobném zařízení sloužícímu k prodeji zboží nebo poskytování služeb.</w:t>
      </w:r>
    </w:p>
    <w:p w14:paraId="0885811E" w14:textId="77777777" w:rsidR="00640235" w:rsidRPr="009A353D" w:rsidRDefault="00640235" w:rsidP="009F1685">
      <w:pPr>
        <w:pStyle w:val="Odstavecseseznamem"/>
        <w:numPr>
          <w:ilvl w:val="0"/>
          <w:numId w:val="11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Za vánoční prodej ryb a stromků, jmelí a chvojí se pokládá jejich prodej od 7. do 24. prosince běžného roku.</w:t>
      </w:r>
    </w:p>
    <w:p w14:paraId="04B70F6A" w14:textId="77777777" w:rsidR="00640235" w:rsidRPr="009A353D" w:rsidRDefault="00640235" w:rsidP="009F1685">
      <w:pPr>
        <w:pStyle w:val="Odstavecseseznamem"/>
        <w:numPr>
          <w:ilvl w:val="0"/>
          <w:numId w:val="11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Za velikonoční prodej kraslic a pomlázek se pokládá jejich prodej v období 20 dnů před</w:t>
      </w:r>
      <w:r w:rsidR="00850E97" w:rsidRPr="009A353D">
        <w:rPr>
          <w:rFonts w:ascii="Arial" w:hAnsi="Arial" w:cs="Arial"/>
        </w:rPr>
        <w:t> </w:t>
      </w:r>
      <w:r w:rsidRPr="009A353D">
        <w:rPr>
          <w:rFonts w:ascii="Arial" w:hAnsi="Arial" w:cs="Arial"/>
        </w:rPr>
        <w:t>Velikonočním pondělím.</w:t>
      </w:r>
    </w:p>
    <w:p w14:paraId="7DD7177B" w14:textId="77777777" w:rsidR="00640235" w:rsidRPr="009F1685" w:rsidRDefault="00640235" w:rsidP="00640235">
      <w:pPr>
        <w:pStyle w:val="Odstavecseseznamem"/>
        <w:numPr>
          <w:ilvl w:val="0"/>
          <w:numId w:val="11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Tento tržní řád se nevztahuje na prodej zboží prostřednictvím automatů obsluhovaných spotřebitelem</w:t>
      </w:r>
      <w:r w:rsidR="00850E97" w:rsidRPr="009A353D">
        <w:rPr>
          <w:rFonts w:ascii="Arial" w:hAnsi="Arial" w:cs="Arial"/>
        </w:rPr>
        <w:t>.</w:t>
      </w:r>
    </w:p>
    <w:p w14:paraId="3FACB432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t>Čl.</w:t>
      </w:r>
      <w:r w:rsidR="00640235" w:rsidRPr="009A353D">
        <w:rPr>
          <w:rFonts w:ascii="Arial" w:hAnsi="Arial" w:cs="Arial"/>
        </w:rPr>
        <w:t xml:space="preserve"> 11</w:t>
      </w:r>
    </w:p>
    <w:p w14:paraId="5F89B09D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  <w:b/>
          <w:bCs/>
        </w:rPr>
        <w:t>Kontrola a sankce</w:t>
      </w:r>
    </w:p>
    <w:p w14:paraId="404957B1" w14:textId="77777777" w:rsidR="00640235" w:rsidRPr="009A353D" w:rsidRDefault="00640235" w:rsidP="009F1685">
      <w:pPr>
        <w:pStyle w:val="Odstavecseseznamem"/>
        <w:numPr>
          <w:ilvl w:val="0"/>
          <w:numId w:val="8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 xml:space="preserve">Kontrolu dodržování tohoto tržního řádu provádí </w:t>
      </w:r>
      <w:r w:rsidR="007F42F4" w:rsidRPr="009A353D">
        <w:rPr>
          <w:rFonts w:ascii="Arial" w:hAnsi="Arial" w:cs="Arial"/>
        </w:rPr>
        <w:t xml:space="preserve">obecní úřad </w:t>
      </w:r>
      <w:r w:rsidRPr="009A353D">
        <w:rPr>
          <w:rFonts w:ascii="Arial" w:hAnsi="Arial" w:cs="Arial"/>
        </w:rPr>
        <w:t>prostřednictvím pověřených oso</w:t>
      </w:r>
      <w:r w:rsidR="007F42F4" w:rsidRPr="009A353D">
        <w:rPr>
          <w:rFonts w:ascii="Arial" w:hAnsi="Arial" w:cs="Arial"/>
        </w:rPr>
        <w:t>b</w:t>
      </w:r>
      <w:r w:rsidRPr="009A353D">
        <w:rPr>
          <w:rFonts w:ascii="Arial" w:hAnsi="Arial" w:cs="Arial"/>
        </w:rPr>
        <w:t>, nejedná-li se o kontrolu dodržování povinností stanovených příslušnými jinými právními předpisy, jež náleží jiným orgánům veřejné moci</w:t>
      </w:r>
      <w:r w:rsidRPr="009A353D">
        <w:rPr>
          <w:rFonts w:ascii="Arial" w:hAnsi="Arial" w:cs="Arial"/>
          <w:vertAlign w:val="superscript"/>
        </w:rPr>
        <w:footnoteReference w:id="3"/>
      </w:r>
      <w:r w:rsidR="00825196" w:rsidRPr="00825196">
        <w:rPr>
          <w:rFonts w:ascii="Arial" w:hAnsi="Arial" w:cs="Arial"/>
          <w:vertAlign w:val="superscript"/>
        </w:rPr>
        <w:t>)</w:t>
      </w:r>
      <w:r w:rsidRPr="009A353D">
        <w:rPr>
          <w:rFonts w:ascii="Arial" w:hAnsi="Arial" w:cs="Arial"/>
        </w:rPr>
        <w:t>.</w:t>
      </w:r>
    </w:p>
    <w:p w14:paraId="58B60747" w14:textId="77777777" w:rsidR="000C3D8B" w:rsidRDefault="00640235" w:rsidP="00640235">
      <w:pPr>
        <w:pStyle w:val="Odstavecseseznamem"/>
        <w:numPr>
          <w:ilvl w:val="0"/>
          <w:numId w:val="8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Porušení povinností stanovených tímto nařízením se postihuje podle jiných právních předpisů</w:t>
      </w:r>
      <w:r w:rsidRPr="009A353D">
        <w:rPr>
          <w:rFonts w:ascii="Arial" w:hAnsi="Arial" w:cs="Arial"/>
          <w:vertAlign w:val="superscript"/>
        </w:rPr>
        <w:footnoteReference w:id="4"/>
      </w:r>
      <w:r w:rsidR="00825196" w:rsidRPr="00825196">
        <w:rPr>
          <w:rFonts w:ascii="Arial" w:hAnsi="Arial" w:cs="Arial"/>
          <w:vertAlign w:val="superscript"/>
        </w:rPr>
        <w:t>)</w:t>
      </w:r>
      <w:r w:rsidRPr="009A353D">
        <w:rPr>
          <w:rFonts w:ascii="Arial" w:hAnsi="Arial" w:cs="Arial"/>
        </w:rPr>
        <w:t>.</w:t>
      </w:r>
    </w:p>
    <w:p w14:paraId="5A4210CC" w14:textId="77777777" w:rsidR="009F1685" w:rsidRPr="009F1685" w:rsidRDefault="009F1685" w:rsidP="009F1685">
      <w:pPr>
        <w:pStyle w:val="Odstavecseseznamem"/>
        <w:spacing w:after="120" w:line="240" w:lineRule="auto"/>
        <w:ind w:left="397"/>
        <w:contextualSpacing w:val="0"/>
        <w:jc w:val="both"/>
        <w:rPr>
          <w:rFonts w:ascii="Arial" w:hAnsi="Arial" w:cs="Arial"/>
        </w:rPr>
      </w:pPr>
    </w:p>
    <w:p w14:paraId="338B526E" w14:textId="77777777" w:rsidR="00640235" w:rsidRPr="009A353D" w:rsidRDefault="00AF456D" w:rsidP="00640235">
      <w:pPr>
        <w:spacing w:after="120" w:line="240" w:lineRule="auto"/>
        <w:jc w:val="center"/>
        <w:rPr>
          <w:rFonts w:ascii="Arial" w:hAnsi="Arial" w:cs="Arial"/>
        </w:rPr>
      </w:pPr>
      <w:r w:rsidRPr="009A353D">
        <w:rPr>
          <w:rFonts w:ascii="Arial" w:hAnsi="Arial" w:cs="Arial"/>
        </w:rPr>
        <w:t>Čl.</w:t>
      </w:r>
      <w:r w:rsidR="00640235" w:rsidRPr="009A353D">
        <w:rPr>
          <w:rFonts w:ascii="Arial" w:hAnsi="Arial" w:cs="Arial"/>
        </w:rPr>
        <w:t xml:space="preserve"> 12</w:t>
      </w:r>
    </w:p>
    <w:p w14:paraId="02E60428" w14:textId="77777777" w:rsidR="00640235" w:rsidRPr="009A353D" w:rsidRDefault="00640235" w:rsidP="00640235">
      <w:pPr>
        <w:spacing w:after="120" w:line="240" w:lineRule="auto"/>
        <w:jc w:val="center"/>
        <w:rPr>
          <w:rFonts w:ascii="Arial" w:hAnsi="Arial" w:cs="Arial"/>
          <w:b/>
          <w:bCs/>
        </w:rPr>
      </w:pPr>
      <w:r w:rsidRPr="009A353D">
        <w:rPr>
          <w:rFonts w:ascii="Arial" w:hAnsi="Arial" w:cs="Arial"/>
          <w:b/>
          <w:bCs/>
        </w:rPr>
        <w:t>Zrušovací a závěrečná ustanovení</w:t>
      </w:r>
    </w:p>
    <w:p w14:paraId="4D3A1CDE" w14:textId="77777777" w:rsidR="00640235" w:rsidRPr="009A353D" w:rsidRDefault="00640235" w:rsidP="009F1685">
      <w:pPr>
        <w:pStyle w:val="Odstavecseseznamem"/>
        <w:numPr>
          <w:ilvl w:val="0"/>
          <w:numId w:val="9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Práva a povinnosti prodejců zboží, poskytovatelů služeb a provozovatelů stanovená jinými právními předpisy nejsou tímto nařízením dotčena.</w:t>
      </w:r>
    </w:p>
    <w:p w14:paraId="49723C2E" w14:textId="77777777" w:rsidR="00640235" w:rsidRPr="009A353D" w:rsidRDefault="00AF456D" w:rsidP="009F1685">
      <w:pPr>
        <w:pStyle w:val="Odstavecseseznamem"/>
        <w:numPr>
          <w:ilvl w:val="0"/>
          <w:numId w:val="9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t>N</w:t>
      </w:r>
      <w:r w:rsidR="00640235" w:rsidRPr="009A353D">
        <w:rPr>
          <w:rFonts w:ascii="Arial" w:hAnsi="Arial" w:cs="Arial"/>
        </w:rPr>
        <w:t xml:space="preserve">ařízení </w:t>
      </w:r>
      <w:r w:rsidR="00066D87" w:rsidRPr="009A353D">
        <w:rPr>
          <w:rFonts w:ascii="Arial" w:hAnsi="Arial" w:cs="Arial"/>
        </w:rPr>
        <w:t>obce Krumvíř</w:t>
      </w:r>
      <w:r w:rsidR="00640235" w:rsidRPr="009A353D">
        <w:rPr>
          <w:rFonts w:ascii="Arial" w:hAnsi="Arial" w:cs="Arial"/>
        </w:rPr>
        <w:t xml:space="preserve"> č. </w:t>
      </w:r>
      <w:r w:rsidR="00066D87" w:rsidRPr="009A353D">
        <w:rPr>
          <w:rFonts w:ascii="Arial" w:hAnsi="Arial" w:cs="Arial"/>
        </w:rPr>
        <w:t>1</w:t>
      </w:r>
      <w:r w:rsidR="00824575" w:rsidRPr="009A353D">
        <w:rPr>
          <w:rFonts w:ascii="Arial" w:hAnsi="Arial" w:cs="Arial"/>
        </w:rPr>
        <w:t>/20</w:t>
      </w:r>
      <w:r w:rsidR="00066D87" w:rsidRPr="009A353D">
        <w:rPr>
          <w:rFonts w:ascii="Arial" w:hAnsi="Arial" w:cs="Arial"/>
        </w:rPr>
        <w:t>13</w:t>
      </w:r>
      <w:r w:rsidR="00824575" w:rsidRPr="009A353D">
        <w:rPr>
          <w:rFonts w:ascii="Arial" w:hAnsi="Arial" w:cs="Arial"/>
        </w:rPr>
        <w:t>, kterým se vydává tržní řád</w:t>
      </w:r>
      <w:r w:rsidRPr="009A353D">
        <w:rPr>
          <w:rFonts w:ascii="Arial" w:hAnsi="Arial" w:cs="Arial"/>
        </w:rPr>
        <w:t xml:space="preserve">, se zrušuje. </w:t>
      </w:r>
    </w:p>
    <w:p w14:paraId="3E7B7EC9" w14:textId="77777777" w:rsidR="00AF456D" w:rsidRPr="009A353D" w:rsidRDefault="00AF456D" w:rsidP="009F1685">
      <w:pPr>
        <w:pStyle w:val="Odstavecseseznamem"/>
        <w:numPr>
          <w:ilvl w:val="0"/>
          <w:numId w:val="9"/>
        </w:numPr>
        <w:spacing w:after="12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9A353D">
        <w:rPr>
          <w:rFonts w:ascii="Arial" w:hAnsi="Arial" w:cs="Arial"/>
        </w:rPr>
        <w:lastRenderedPageBreak/>
        <w:t xml:space="preserve">Toto nařízení nabývá účinnosti počátkem patnáctého dne následujícího po dni jeho vyhlášení. </w:t>
      </w:r>
    </w:p>
    <w:p w14:paraId="22BBC933" w14:textId="77777777" w:rsidR="0065147F" w:rsidRPr="009A353D" w:rsidRDefault="0065147F" w:rsidP="009F1685">
      <w:pPr>
        <w:spacing w:after="120" w:line="240" w:lineRule="auto"/>
        <w:rPr>
          <w:rFonts w:ascii="Arial" w:eastAsia="Times New Roman" w:hAnsi="Arial" w:cs="Arial"/>
          <w:b/>
        </w:rPr>
      </w:pPr>
    </w:p>
    <w:p w14:paraId="19227DC0" w14:textId="77777777" w:rsidR="00A71BF4" w:rsidRPr="009A353D" w:rsidRDefault="00A71BF4" w:rsidP="00682E4D">
      <w:pPr>
        <w:spacing w:after="120" w:line="240" w:lineRule="auto"/>
        <w:rPr>
          <w:rFonts w:ascii="Arial" w:eastAsia="Times New Roman" w:hAnsi="Arial" w:cs="Arial"/>
          <w:b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A71BF4" w:rsidRPr="009A353D" w14:paraId="0199BD3C" w14:textId="77777777" w:rsidTr="00015490">
        <w:tc>
          <w:tcPr>
            <w:tcW w:w="4606" w:type="dxa"/>
          </w:tcPr>
          <w:p w14:paraId="5B3EE885" w14:textId="77777777" w:rsidR="00A71BF4" w:rsidRPr="009A353D" w:rsidRDefault="00066D87" w:rsidP="000154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A353D">
              <w:rPr>
                <w:color w:val="auto"/>
                <w:sz w:val="22"/>
                <w:szCs w:val="22"/>
              </w:rPr>
              <w:t xml:space="preserve">Jaroslav </w:t>
            </w:r>
            <w:proofErr w:type="spellStart"/>
            <w:r w:rsidRPr="009A353D">
              <w:rPr>
                <w:color w:val="auto"/>
                <w:sz w:val="22"/>
                <w:szCs w:val="22"/>
              </w:rPr>
              <w:t>Komosný</w:t>
            </w:r>
            <w:proofErr w:type="spellEnd"/>
            <w:r w:rsidR="004B59F1" w:rsidRPr="009A353D">
              <w:rPr>
                <w:color w:val="auto"/>
                <w:sz w:val="22"/>
                <w:szCs w:val="22"/>
              </w:rPr>
              <w:t xml:space="preserve"> v. r. </w:t>
            </w:r>
          </w:p>
        </w:tc>
        <w:tc>
          <w:tcPr>
            <w:tcW w:w="4607" w:type="dxa"/>
          </w:tcPr>
          <w:p w14:paraId="176B11E2" w14:textId="77777777" w:rsidR="00A71BF4" w:rsidRPr="009A353D" w:rsidRDefault="00066D87" w:rsidP="00015490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A353D">
              <w:rPr>
                <w:color w:val="auto"/>
                <w:sz w:val="22"/>
                <w:szCs w:val="22"/>
              </w:rPr>
              <w:t>Mgr. Ondřej Luskač</w:t>
            </w:r>
            <w:r w:rsidR="004B59F1" w:rsidRPr="009A353D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71BF4" w:rsidRPr="009A353D" w14:paraId="43AFFC57" w14:textId="77777777" w:rsidTr="00015490">
        <w:tc>
          <w:tcPr>
            <w:tcW w:w="4606" w:type="dxa"/>
          </w:tcPr>
          <w:p w14:paraId="01FD47C5" w14:textId="77777777" w:rsidR="00A71BF4" w:rsidRPr="009A353D" w:rsidRDefault="00066D87" w:rsidP="00015490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9A353D">
              <w:rPr>
                <w:color w:val="auto"/>
                <w:sz w:val="22"/>
                <w:szCs w:val="22"/>
              </w:rPr>
              <w:t>s</w:t>
            </w:r>
            <w:r w:rsidR="00A71BF4" w:rsidRPr="009A353D">
              <w:rPr>
                <w:color w:val="auto"/>
                <w:sz w:val="22"/>
                <w:szCs w:val="22"/>
              </w:rPr>
              <w:t>tarosta</w:t>
            </w:r>
            <w:r w:rsidRPr="009A353D">
              <w:rPr>
                <w:color w:val="auto"/>
                <w:sz w:val="22"/>
                <w:szCs w:val="22"/>
              </w:rPr>
              <w:t xml:space="preserve"> obce</w:t>
            </w:r>
          </w:p>
        </w:tc>
        <w:tc>
          <w:tcPr>
            <w:tcW w:w="4607" w:type="dxa"/>
          </w:tcPr>
          <w:p w14:paraId="6CB7010B" w14:textId="77777777" w:rsidR="00A71BF4" w:rsidRPr="009A353D" w:rsidRDefault="00A71BF4" w:rsidP="00015490">
            <w:pPr>
              <w:pStyle w:val="Default"/>
              <w:spacing w:after="120"/>
              <w:jc w:val="center"/>
              <w:rPr>
                <w:color w:val="auto"/>
                <w:sz w:val="22"/>
                <w:szCs w:val="22"/>
              </w:rPr>
            </w:pPr>
            <w:r w:rsidRPr="009A353D">
              <w:rPr>
                <w:color w:val="auto"/>
                <w:sz w:val="22"/>
                <w:szCs w:val="22"/>
              </w:rPr>
              <w:t>místostarost</w:t>
            </w:r>
            <w:r w:rsidR="00066D87" w:rsidRPr="009A353D">
              <w:rPr>
                <w:color w:val="auto"/>
                <w:sz w:val="22"/>
                <w:szCs w:val="22"/>
              </w:rPr>
              <w:t>a</w:t>
            </w:r>
            <w:r w:rsidRPr="009A353D">
              <w:rPr>
                <w:color w:val="auto"/>
                <w:sz w:val="22"/>
                <w:szCs w:val="22"/>
              </w:rPr>
              <w:t xml:space="preserve"> </w:t>
            </w:r>
            <w:r w:rsidR="00066D87" w:rsidRPr="009A353D">
              <w:rPr>
                <w:color w:val="auto"/>
                <w:sz w:val="22"/>
                <w:szCs w:val="22"/>
              </w:rPr>
              <w:t>obce</w:t>
            </w:r>
          </w:p>
        </w:tc>
      </w:tr>
    </w:tbl>
    <w:p w14:paraId="51707224" w14:textId="77777777" w:rsidR="00640235" w:rsidRPr="00804844" w:rsidRDefault="00640235" w:rsidP="00DD6510">
      <w:pPr>
        <w:jc w:val="right"/>
        <w:rPr>
          <w:rFonts w:ascii="Arial" w:hAnsi="Arial" w:cs="Arial"/>
        </w:rPr>
      </w:pPr>
      <w:r w:rsidRPr="009A353D">
        <w:rPr>
          <w:rFonts w:ascii="Arial" w:hAnsi="Arial" w:cs="Arial"/>
          <w:color w:val="000000"/>
        </w:rPr>
        <w:br w:type="page"/>
      </w:r>
      <w:r w:rsidRPr="00804844">
        <w:rPr>
          <w:rFonts w:ascii="Arial" w:hAnsi="Arial" w:cs="Arial"/>
        </w:rPr>
        <w:lastRenderedPageBreak/>
        <w:t xml:space="preserve">Příloha k nařízení </w:t>
      </w:r>
      <w:r w:rsidR="009C2F36">
        <w:rPr>
          <w:rFonts w:ascii="Arial" w:hAnsi="Arial" w:cs="Arial"/>
        </w:rPr>
        <w:t>obce</w:t>
      </w:r>
      <w:r w:rsidR="002E015D">
        <w:rPr>
          <w:rFonts w:ascii="Arial" w:hAnsi="Arial" w:cs="Arial"/>
        </w:rPr>
        <w:t xml:space="preserve"> Krumvíř</w:t>
      </w:r>
      <w:r w:rsidR="00E30E33">
        <w:rPr>
          <w:rFonts w:ascii="Arial" w:hAnsi="Arial" w:cs="Arial"/>
        </w:rPr>
        <w:t>, Tržní řád</w:t>
      </w:r>
    </w:p>
    <w:p w14:paraId="61D7B56E" w14:textId="77777777" w:rsidR="00E30E33" w:rsidRDefault="00E30E33" w:rsidP="00C71E2F">
      <w:pPr>
        <w:jc w:val="center"/>
        <w:rPr>
          <w:rFonts w:ascii="Arial" w:hAnsi="Arial" w:cs="Arial"/>
          <w:b/>
          <w:bCs/>
        </w:rPr>
      </w:pPr>
      <w:r w:rsidRPr="00C71E2F">
        <w:rPr>
          <w:rFonts w:ascii="Arial" w:hAnsi="Arial" w:cs="Arial"/>
          <w:b/>
          <w:bCs/>
        </w:rPr>
        <w:t>Místa pro prodej zboží a poskytování služeb včetně jejich kapacity</w:t>
      </w:r>
    </w:p>
    <w:p w14:paraId="2B581B72" w14:textId="77777777" w:rsidR="00E30E33" w:rsidRPr="00E30E33" w:rsidRDefault="00E30E33" w:rsidP="00E30E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Jako tržiště jsou na území obce </w:t>
      </w:r>
      <w:r w:rsidR="00AF456D">
        <w:rPr>
          <w:rFonts w:ascii="Arial" w:hAnsi="Arial" w:cs="Arial"/>
          <w:b/>
          <w:bCs/>
        </w:rPr>
        <w:t xml:space="preserve">Krumvíř </w:t>
      </w:r>
      <w:r>
        <w:rPr>
          <w:rFonts w:ascii="Arial" w:hAnsi="Arial" w:cs="Arial"/>
          <w:b/>
          <w:bCs/>
        </w:rPr>
        <w:t xml:space="preserve">určena: </w:t>
      </w:r>
    </w:p>
    <w:p w14:paraId="6E21C020" w14:textId="77777777" w:rsidR="009C2F36" w:rsidRDefault="009C2F36" w:rsidP="009C2F36">
      <w:pPr>
        <w:pStyle w:val="Odstavecseseznamem"/>
        <w:numPr>
          <w:ilvl w:val="0"/>
          <w:numId w:val="5"/>
        </w:numPr>
        <w:ind w:left="426" w:hanging="426"/>
        <w:rPr>
          <w:rFonts w:ascii="Arial" w:hAnsi="Arial" w:cs="Arial"/>
        </w:rPr>
      </w:pPr>
      <w:r w:rsidRPr="00640235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locha u kulturního domu</w:t>
      </w:r>
    </w:p>
    <w:p w14:paraId="1FD4720E" w14:textId="77777777" w:rsidR="009C2F36" w:rsidRDefault="00E30E33" w:rsidP="009C2F36">
      <w:pPr>
        <w:pStyle w:val="Odstavecseseznamem"/>
        <w:numPr>
          <w:ilvl w:val="0"/>
          <w:numId w:val="6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Vymezená část </w:t>
      </w:r>
      <w:r w:rsidR="009C2F36" w:rsidRPr="00640235">
        <w:rPr>
          <w:rFonts w:ascii="Arial" w:hAnsi="Arial" w:cs="Arial"/>
        </w:rPr>
        <w:t>pozem</w:t>
      </w:r>
      <w:r>
        <w:rPr>
          <w:rFonts w:ascii="Arial" w:hAnsi="Arial" w:cs="Arial"/>
        </w:rPr>
        <w:t>ků</w:t>
      </w:r>
      <w:r w:rsidR="009C2F36" w:rsidRPr="00640235">
        <w:rPr>
          <w:rFonts w:ascii="Arial" w:hAnsi="Arial" w:cs="Arial"/>
        </w:rPr>
        <w:t xml:space="preserve"> p. č. </w:t>
      </w:r>
      <w:r w:rsidR="009C2F36">
        <w:rPr>
          <w:rFonts w:ascii="Arial" w:hAnsi="Arial" w:cs="Arial"/>
        </w:rPr>
        <w:t>19/2, 20/4, 2834, 914/1</w:t>
      </w:r>
      <w:r w:rsidR="009C2F36" w:rsidRPr="00640235">
        <w:rPr>
          <w:rFonts w:ascii="Arial" w:hAnsi="Arial" w:cs="Arial"/>
        </w:rPr>
        <w:t xml:space="preserve"> k. ú </w:t>
      </w:r>
      <w:r w:rsidR="009C2F36">
        <w:rPr>
          <w:rFonts w:ascii="Arial" w:hAnsi="Arial" w:cs="Arial"/>
        </w:rPr>
        <w:t>Krumvíř</w:t>
      </w:r>
    </w:p>
    <w:p w14:paraId="34284240" w14:textId="77777777" w:rsidR="009C2F36" w:rsidRDefault="00E30E33" w:rsidP="009C2F36">
      <w:pPr>
        <w:pStyle w:val="Odstavecseseznamem"/>
        <w:numPr>
          <w:ilvl w:val="0"/>
          <w:numId w:val="6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>celoročně</w:t>
      </w:r>
    </w:p>
    <w:p w14:paraId="07826FD0" w14:textId="77777777" w:rsidR="00E30E33" w:rsidRDefault="00E30E33" w:rsidP="00E30E33">
      <w:pPr>
        <w:pStyle w:val="Odstavecseseznamem"/>
        <w:numPr>
          <w:ilvl w:val="0"/>
          <w:numId w:val="6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není vymezen druh prodávaného zboží </w:t>
      </w:r>
    </w:p>
    <w:p w14:paraId="32083AE2" w14:textId="77777777" w:rsidR="009C2F36" w:rsidRDefault="00493048" w:rsidP="009C2F36">
      <w:pPr>
        <w:pStyle w:val="Odstavecseseznamem"/>
        <w:numPr>
          <w:ilvl w:val="0"/>
          <w:numId w:val="6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9C2F36" w:rsidRPr="0094612C">
        <w:rPr>
          <w:rFonts w:ascii="Arial" w:hAnsi="Arial" w:cs="Arial"/>
        </w:rPr>
        <w:t xml:space="preserve"> </w:t>
      </w:r>
      <w:r w:rsidR="00CE22B6">
        <w:rPr>
          <w:rFonts w:ascii="Arial" w:hAnsi="Arial" w:cs="Arial"/>
        </w:rPr>
        <w:t xml:space="preserve">prodejních </w:t>
      </w:r>
      <w:r w:rsidR="009C2F36" w:rsidRPr="0094612C">
        <w:rPr>
          <w:rFonts w:ascii="Arial" w:hAnsi="Arial" w:cs="Arial"/>
        </w:rPr>
        <w:t>míst</w:t>
      </w:r>
    </w:p>
    <w:p w14:paraId="00C7AC0C" w14:textId="77777777" w:rsidR="00C13476" w:rsidRDefault="003C02F4" w:rsidP="003C02F4">
      <w:pPr>
        <w:pStyle w:val="Normlnweb"/>
        <w:ind w:left="720"/>
      </w:pPr>
      <w:r>
        <w:rPr>
          <w:noProof/>
        </w:rPr>
        <w:drawing>
          <wp:inline distT="0" distB="0" distL="0" distR="0" wp14:anchorId="7240A5F1" wp14:editId="352B01B7">
            <wp:extent cx="3781425" cy="2363390"/>
            <wp:effectExtent l="0" t="0" r="0" b="0"/>
            <wp:docPr id="1798728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7282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002" cy="238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007D4" w14:textId="77777777" w:rsidR="009C2F36" w:rsidRDefault="009C2F36" w:rsidP="009C2F36">
      <w:pPr>
        <w:pStyle w:val="Odstavecseseznamem"/>
        <w:rPr>
          <w:rFonts w:ascii="Arial" w:hAnsi="Arial" w:cs="Arial"/>
        </w:rPr>
      </w:pPr>
    </w:p>
    <w:p w14:paraId="72D8FDB8" w14:textId="77777777" w:rsidR="009C2F36" w:rsidRDefault="009C2F36" w:rsidP="009C2F36">
      <w:pPr>
        <w:pStyle w:val="Odstavecseseznamem"/>
        <w:numPr>
          <w:ilvl w:val="0"/>
          <w:numId w:val="5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  <w:b/>
        </w:rPr>
        <w:t>Areál Národopisného stadionu</w:t>
      </w:r>
    </w:p>
    <w:p w14:paraId="098A7FE9" w14:textId="77777777" w:rsidR="009C2F36" w:rsidRDefault="009C2F36" w:rsidP="009C2F36">
      <w:pPr>
        <w:pStyle w:val="Odstavecseseznamem"/>
        <w:numPr>
          <w:ilvl w:val="0"/>
          <w:numId w:val="6"/>
        </w:numPr>
        <w:ind w:hanging="294"/>
        <w:rPr>
          <w:rFonts w:ascii="Arial" w:hAnsi="Arial" w:cs="Arial"/>
        </w:rPr>
      </w:pPr>
      <w:r w:rsidRPr="00640235">
        <w:rPr>
          <w:rFonts w:ascii="Arial" w:hAnsi="Arial" w:cs="Arial"/>
        </w:rPr>
        <w:t>pozem</w:t>
      </w:r>
      <w:r w:rsidR="00E30E33">
        <w:rPr>
          <w:rFonts w:ascii="Arial" w:hAnsi="Arial" w:cs="Arial"/>
        </w:rPr>
        <w:t>k</w:t>
      </w:r>
      <w:r w:rsidR="00AF456D">
        <w:rPr>
          <w:rFonts w:ascii="Arial" w:hAnsi="Arial" w:cs="Arial"/>
        </w:rPr>
        <w:t>em</w:t>
      </w:r>
      <w:r w:rsidRPr="00640235">
        <w:rPr>
          <w:rFonts w:ascii="Arial" w:hAnsi="Arial" w:cs="Arial"/>
        </w:rPr>
        <w:t xml:space="preserve"> p. č.</w:t>
      </w:r>
      <w:r>
        <w:rPr>
          <w:rFonts w:ascii="Arial" w:hAnsi="Arial" w:cs="Arial"/>
        </w:rPr>
        <w:t xml:space="preserve"> 912/</w:t>
      </w:r>
      <w:proofErr w:type="gramStart"/>
      <w:r>
        <w:rPr>
          <w:rFonts w:ascii="Arial" w:hAnsi="Arial" w:cs="Arial"/>
        </w:rPr>
        <w:t xml:space="preserve">47, </w:t>
      </w:r>
      <w:r w:rsidRPr="00640235">
        <w:rPr>
          <w:rFonts w:ascii="Arial" w:hAnsi="Arial" w:cs="Arial"/>
        </w:rPr>
        <w:t xml:space="preserve"> k.</w:t>
      </w:r>
      <w:proofErr w:type="gramEnd"/>
      <w:r w:rsidRPr="00640235">
        <w:rPr>
          <w:rFonts w:ascii="Arial" w:hAnsi="Arial" w:cs="Arial"/>
        </w:rPr>
        <w:t xml:space="preserve"> ú </w:t>
      </w:r>
      <w:r>
        <w:rPr>
          <w:rFonts w:ascii="Arial" w:hAnsi="Arial" w:cs="Arial"/>
        </w:rPr>
        <w:t>Krumvíř</w:t>
      </w:r>
    </w:p>
    <w:p w14:paraId="2159B37C" w14:textId="77777777" w:rsidR="009C2F36" w:rsidRDefault="00E30E33" w:rsidP="009C2F36">
      <w:pPr>
        <w:pStyle w:val="Odstavecseseznamem"/>
        <w:numPr>
          <w:ilvl w:val="0"/>
          <w:numId w:val="6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>celoročně</w:t>
      </w:r>
    </w:p>
    <w:p w14:paraId="09476B79" w14:textId="77777777" w:rsidR="00E30E33" w:rsidRDefault="00E30E33" w:rsidP="00E30E33">
      <w:pPr>
        <w:pStyle w:val="Odstavecseseznamem"/>
        <w:numPr>
          <w:ilvl w:val="0"/>
          <w:numId w:val="6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není vymezen druh prodávaného zboží </w:t>
      </w:r>
    </w:p>
    <w:p w14:paraId="13F2C91E" w14:textId="77777777" w:rsidR="00E30E33" w:rsidRPr="00493048" w:rsidRDefault="00493048" w:rsidP="001B7AC5">
      <w:pPr>
        <w:pStyle w:val="Odstavecseseznamem"/>
        <w:numPr>
          <w:ilvl w:val="0"/>
          <w:numId w:val="6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9C2F36" w:rsidRPr="00493048">
        <w:rPr>
          <w:rFonts w:ascii="Arial" w:hAnsi="Arial" w:cs="Arial"/>
        </w:rPr>
        <w:t xml:space="preserve"> </w:t>
      </w:r>
      <w:r w:rsidR="00CE22B6" w:rsidRPr="00493048">
        <w:rPr>
          <w:rFonts w:ascii="Arial" w:hAnsi="Arial" w:cs="Arial"/>
        </w:rPr>
        <w:t xml:space="preserve">prodejních </w:t>
      </w:r>
      <w:r w:rsidR="009C2F36" w:rsidRPr="00493048">
        <w:rPr>
          <w:rFonts w:ascii="Arial" w:hAnsi="Arial" w:cs="Arial"/>
        </w:rPr>
        <w:t>míst</w:t>
      </w:r>
    </w:p>
    <w:p w14:paraId="641A344D" w14:textId="77777777" w:rsidR="00493048" w:rsidRDefault="003C02F4" w:rsidP="003C02F4">
      <w:pPr>
        <w:pStyle w:val="Normlnweb"/>
        <w:ind w:left="708"/>
      </w:pPr>
      <w:r>
        <w:rPr>
          <w:noProof/>
        </w:rPr>
        <w:drawing>
          <wp:inline distT="0" distB="0" distL="0" distR="0" wp14:anchorId="4DEDAA5D" wp14:editId="31AD864E">
            <wp:extent cx="3840481" cy="2400300"/>
            <wp:effectExtent l="0" t="0" r="7620" b="0"/>
            <wp:docPr id="7664155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15508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9729" cy="240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54D9" w14:textId="77777777" w:rsidR="007B539C" w:rsidRPr="00E23C33" w:rsidRDefault="007B539C" w:rsidP="00E23C33">
      <w:pPr>
        <w:rPr>
          <w:rFonts w:ascii="Arial" w:hAnsi="Arial" w:cs="Arial"/>
        </w:rPr>
      </w:pPr>
    </w:p>
    <w:sectPr w:rsidR="007B539C" w:rsidRPr="00E23C33" w:rsidSect="00CE144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F4A78" w14:textId="77777777" w:rsidR="00220853" w:rsidRDefault="00220853" w:rsidP="00A02B72">
      <w:pPr>
        <w:spacing w:after="0" w:line="240" w:lineRule="auto"/>
      </w:pPr>
      <w:r>
        <w:separator/>
      </w:r>
    </w:p>
  </w:endnote>
  <w:endnote w:type="continuationSeparator" w:id="0">
    <w:p w14:paraId="0202EC16" w14:textId="77777777" w:rsidR="00220853" w:rsidRDefault="00220853" w:rsidP="00A0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04249135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EB4FB74" w14:textId="77777777" w:rsidR="00C86ACF" w:rsidRPr="003815F5" w:rsidRDefault="00C86ACF" w:rsidP="00413D98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15F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3E0133"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3E0133"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A7F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5</w:t>
            </w:r>
            <w:r w:rsidR="003E0133"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815F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E0133"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815F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3E0133"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A7FC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="003E0133" w:rsidRPr="003815F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3EEE6" w14:textId="77777777" w:rsidR="00220853" w:rsidRDefault="00220853" w:rsidP="00A02B72">
      <w:pPr>
        <w:spacing w:after="0" w:line="240" w:lineRule="auto"/>
      </w:pPr>
      <w:r>
        <w:separator/>
      </w:r>
    </w:p>
  </w:footnote>
  <w:footnote w:type="continuationSeparator" w:id="0">
    <w:p w14:paraId="1952A0AE" w14:textId="77777777" w:rsidR="00220853" w:rsidRDefault="00220853" w:rsidP="00A02B72">
      <w:pPr>
        <w:spacing w:after="0" w:line="240" w:lineRule="auto"/>
      </w:pPr>
      <w:r>
        <w:continuationSeparator/>
      </w:r>
    </w:p>
  </w:footnote>
  <w:footnote w:id="1">
    <w:p w14:paraId="380AA321" w14:textId="77777777" w:rsidR="00640235" w:rsidRPr="00342C3A" w:rsidRDefault="00640235" w:rsidP="00342C3A">
      <w:pPr>
        <w:pStyle w:val="Textpoznpodarou"/>
        <w:ind w:left="142" w:hanging="142"/>
        <w:jc w:val="both"/>
        <w:rPr>
          <w:rFonts w:ascii="Arial" w:hAnsi="Arial" w:cs="Arial"/>
        </w:rPr>
      </w:pPr>
      <w:r w:rsidRPr="00AF456D">
        <w:rPr>
          <w:rStyle w:val="Znakapoznpodarou"/>
          <w:rFonts w:ascii="Arial" w:hAnsi="Arial" w:cs="Arial"/>
        </w:rPr>
        <w:footnoteRef/>
      </w:r>
      <w:r w:rsidR="00AF456D" w:rsidRPr="00AF456D">
        <w:rPr>
          <w:rFonts w:ascii="Arial" w:hAnsi="Arial" w:cs="Arial"/>
          <w:vertAlign w:val="superscript"/>
        </w:rPr>
        <w:t>)</w:t>
      </w:r>
      <w:r w:rsidRPr="00AF456D">
        <w:rPr>
          <w:rFonts w:ascii="Arial" w:hAnsi="Arial" w:cs="Arial"/>
          <w:vertAlign w:val="superscript"/>
        </w:rPr>
        <w:t xml:space="preserve"> </w:t>
      </w:r>
      <w:r w:rsidR="00342C3A">
        <w:rPr>
          <w:rFonts w:ascii="Arial" w:hAnsi="Arial" w:cs="Arial"/>
        </w:rPr>
        <w:tab/>
      </w:r>
      <w:r w:rsidRPr="00342C3A">
        <w:rPr>
          <w:rFonts w:ascii="Arial" w:hAnsi="Arial" w:cs="Arial"/>
        </w:rPr>
        <w:t>Z</w:t>
      </w:r>
      <w:r w:rsidR="00A475E4">
        <w:rPr>
          <w:rFonts w:ascii="Arial" w:hAnsi="Arial" w:cs="Arial"/>
          <w:szCs w:val="18"/>
        </w:rPr>
        <w:t>ákon č. 283/2021</w:t>
      </w:r>
      <w:r w:rsidRPr="00342C3A">
        <w:rPr>
          <w:rFonts w:ascii="Arial" w:hAnsi="Arial" w:cs="Arial"/>
          <w:szCs w:val="18"/>
        </w:rPr>
        <w:t xml:space="preserve"> Sb., </w:t>
      </w:r>
      <w:r w:rsidR="00A475E4">
        <w:rPr>
          <w:rFonts w:ascii="Arial" w:hAnsi="Arial" w:cs="Arial"/>
          <w:szCs w:val="18"/>
        </w:rPr>
        <w:t>stavební zákon</w:t>
      </w:r>
      <w:r w:rsidRPr="00342C3A">
        <w:rPr>
          <w:rFonts w:ascii="Arial" w:hAnsi="Arial" w:cs="Arial"/>
          <w:szCs w:val="18"/>
        </w:rPr>
        <w:t>, ve znění pozdějších předpisů.</w:t>
      </w:r>
    </w:p>
  </w:footnote>
  <w:footnote w:id="2">
    <w:p w14:paraId="0B210C92" w14:textId="77777777" w:rsidR="00640235" w:rsidRPr="00342C3A" w:rsidRDefault="00AF456D" w:rsidP="00AF456D">
      <w:pPr>
        <w:pStyle w:val="Textpoznpodarou"/>
        <w:jc w:val="both"/>
        <w:rPr>
          <w:rFonts w:ascii="Arial" w:hAnsi="Arial" w:cs="Arial"/>
        </w:rPr>
      </w:pPr>
      <w:r w:rsidRPr="00AF456D">
        <w:rPr>
          <w:rStyle w:val="Znakapoznpodarou"/>
          <w:rFonts w:ascii="Arial" w:hAnsi="Arial" w:cs="Arial"/>
        </w:rPr>
        <w:footnoteRef/>
      </w:r>
      <w:r w:rsidRPr="00AF456D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 xml:space="preserve"> </w:t>
      </w:r>
      <w:r w:rsidR="00640235" w:rsidRPr="00342C3A">
        <w:rPr>
          <w:rFonts w:ascii="Arial" w:hAnsi="Arial" w:cs="Arial"/>
        </w:rPr>
        <w:t xml:space="preserve">§ 34 zákona č. 128/2000 Sb., o obcích (obecní zřízení), ve znění pozdějších předpisů. </w:t>
      </w:r>
    </w:p>
  </w:footnote>
  <w:footnote w:id="3">
    <w:p w14:paraId="0DEBFFE1" w14:textId="77777777" w:rsidR="00AF456D" w:rsidRDefault="00AF456D" w:rsidP="00AF456D">
      <w:pPr>
        <w:pStyle w:val="Textpoznpodarou"/>
        <w:jc w:val="both"/>
        <w:rPr>
          <w:rFonts w:ascii="Arial" w:hAnsi="Arial" w:cs="Arial"/>
        </w:rPr>
      </w:pPr>
      <w:r w:rsidRPr="00AF456D">
        <w:rPr>
          <w:rStyle w:val="Znakapoznpodarou"/>
          <w:rFonts w:ascii="Arial" w:hAnsi="Arial" w:cs="Arial"/>
        </w:rPr>
        <w:footnoteRef/>
      </w:r>
      <w:r w:rsidRPr="00AF456D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 xml:space="preserve"> </w:t>
      </w:r>
      <w:r w:rsidR="00640235" w:rsidRPr="00F652DE">
        <w:rPr>
          <w:rFonts w:ascii="Arial" w:hAnsi="Arial" w:cs="Arial"/>
        </w:rPr>
        <w:t>Např</w:t>
      </w:r>
      <w:r w:rsidR="00A475E4">
        <w:rPr>
          <w:rFonts w:ascii="Arial" w:hAnsi="Arial" w:cs="Arial"/>
        </w:rPr>
        <w:t xml:space="preserve">íklad </w:t>
      </w:r>
      <w:r w:rsidR="00640235" w:rsidRPr="00F652DE">
        <w:rPr>
          <w:rFonts w:ascii="Arial" w:hAnsi="Arial" w:cs="Arial"/>
        </w:rPr>
        <w:t xml:space="preserve">živnostenské úřady, celní orgány, orgány Finanční správy ČR, Česká obchodní inspekce, </w:t>
      </w:r>
      <w:r>
        <w:rPr>
          <w:rFonts w:ascii="Arial" w:hAnsi="Arial" w:cs="Arial"/>
        </w:rPr>
        <w:t xml:space="preserve">  </w:t>
      </w:r>
    </w:p>
    <w:p w14:paraId="31C40F1D" w14:textId="77777777" w:rsidR="00640235" w:rsidRPr="00F652DE" w:rsidRDefault="00AF456D" w:rsidP="00AF456D">
      <w:pPr>
        <w:pStyle w:val="Textpoznpodarou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40235" w:rsidRPr="00F652DE">
        <w:rPr>
          <w:rFonts w:ascii="Arial" w:hAnsi="Arial" w:cs="Arial"/>
        </w:rPr>
        <w:t xml:space="preserve">hygienická stanice. </w:t>
      </w:r>
    </w:p>
  </w:footnote>
  <w:footnote w:id="4">
    <w:p w14:paraId="4984A41A" w14:textId="77777777" w:rsidR="00640235" w:rsidRPr="00F652DE" w:rsidRDefault="00AF456D" w:rsidP="00B07C23">
      <w:pPr>
        <w:pStyle w:val="Textpoznpodarou"/>
        <w:jc w:val="both"/>
        <w:rPr>
          <w:rFonts w:ascii="Arial" w:hAnsi="Arial" w:cs="Arial"/>
        </w:rPr>
      </w:pPr>
      <w:r w:rsidRPr="00AF456D">
        <w:rPr>
          <w:rStyle w:val="Znakapoznpodarou"/>
          <w:rFonts w:ascii="Arial" w:hAnsi="Arial" w:cs="Arial"/>
        </w:rPr>
        <w:footnoteRef/>
      </w:r>
      <w:r w:rsidRPr="00AF456D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  <w:vertAlign w:val="superscript"/>
        </w:rPr>
        <w:t xml:space="preserve"> </w:t>
      </w:r>
      <w:r w:rsidR="008B76C5">
        <w:rPr>
          <w:rFonts w:ascii="Arial" w:hAnsi="Arial" w:cs="Arial"/>
        </w:rPr>
        <w:t>§ 4</w:t>
      </w:r>
      <w:r w:rsidR="00640235" w:rsidRPr="00F652DE">
        <w:rPr>
          <w:rFonts w:ascii="Arial" w:hAnsi="Arial" w:cs="Arial"/>
        </w:rPr>
        <w:t xml:space="preserve"> zákona č. 251/20</w:t>
      </w:r>
      <w:r w:rsidR="00A475E4">
        <w:rPr>
          <w:rFonts w:ascii="Arial" w:hAnsi="Arial" w:cs="Arial"/>
        </w:rPr>
        <w:t>16 Sb., o některých přestupcích, ve znění pozdějších předpisů</w:t>
      </w:r>
      <w:r w:rsidR="008B76C5">
        <w:rPr>
          <w:rFonts w:ascii="Arial" w:hAnsi="Arial" w:cs="Arial"/>
        </w:rPr>
        <w:t>.</w:t>
      </w:r>
      <w:r w:rsidR="00A475E4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A6B2D" w14:textId="77777777" w:rsidR="00C86ACF" w:rsidRDefault="00C86ACF" w:rsidP="00EE6B5A">
    <w:pPr>
      <w:pStyle w:val="Zhlav"/>
      <w:tabs>
        <w:tab w:val="clear" w:pos="9072"/>
        <w:tab w:val="right" w:pos="9498"/>
      </w:tabs>
      <w:jc w:val="center"/>
    </w:pPr>
  </w:p>
  <w:p w14:paraId="18FE7744" w14:textId="77777777" w:rsidR="00C86ACF" w:rsidRDefault="00C86ACF" w:rsidP="00EE6B5A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80785"/>
    <w:multiLevelType w:val="hybridMultilevel"/>
    <w:tmpl w:val="5406C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73F0"/>
    <w:multiLevelType w:val="hybridMultilevel"/>
    <w:tmpl w:val="6F5A54D8"/>
    <w:lvl w:ilvl="0" w:tplc="63AAD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7785"/>
    <w:multiLevelType w:val="hybridMultilevel"/>
    <w:tmpl w:val="DDB4D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2434"/>
    <w:multiLevelType w:val="hybridMultilevel"/>
    <w:tmpl w:val="4BFC82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3707"/>
    <w:multiLevelType w:val="hybridMultilevel"/>
    <w:tmpl w:val="E91C6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D44DE"/>
    <w:multiLevelType w:val="hybridMultilevel"/>
    <w:tmpl w:val="E4AE69A4"/>
    <w:lvl w:ilvl="0" w:tplc="63AAD8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D4370"/>
    <w:multiLevelType w:val="hybridMultilevel"/>
    <w:tmpl w:val="DEECA1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42C54"/>
    <w:multiLevelType w:val="hybridMultilevel"/>
    <w:tmpl w:val="F1B06E86"/>
    <w:lvl w:ilvl="0" w:tplc="2B7CAE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E8B"/>
    <w:multiLevelType w:val="hybridMultilevel"/>
    <w:tmpl w:val="3EEAE91A"/>
    <w:lvl w:ilvl="0" w:tplc="63AAD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96F38"/>
    <w:multiLevelType w:val="hybridMultilevel"/>
    <w:tmpl w:val="944EF82E"/>
    <w:lvl w:ilvl="0" w:tplc="63AAD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400E1"/>
    <w:multiLevelType w:val="hybridMultilevel"/>
    <w:tmpl w:val="C5980442"/>
    <w:lvl w:ilvl="0" w:tplc="461E6A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3C4397"/>
    <w:multiLevelType w:val="hybridMultilevel"/>
    <w:tmpl w:val="6B620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3F46278A"/>
    <w:multiLevelType w:val="hybridMultilevel"/>
    <w:tmpl w:val="179E85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57E10"/>
    <w:multiLevelType w:val="hybridMultilevel"/>
    <w:tmpl w:val="DB3058CC"/>
    <w:lvl w:ilvl="0" w:tplc="4718E4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330D8"/>
    <w:multiLevelType w:val="hybridMultilevel"/>
    <w:tmpl w:val="F9908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9F67C6"/>
    <w:multiLevelType w:val="hybridMultilevel"/>
    <w:tmpl w:val="7FB254B6"/>
    <w:lvl w:ilvl="0" w:tplc="63AAD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30C95"/>
    <w:multiLevelType w:val="hybridMultilevel"/>
    <w:tmpl w:val="E91C6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869E5"/>
    <w:multiLevelType w:val="hybridMultilevel"/>
    <w:tmpl w:val="8460D5AA"/>
    <w:lvl w:ilvl="0" w:tplc="63AAD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B5889"/>
    <w:multiLevelType w:val="hybridMultilevel"/>
    <w:tmpl w:val="077452D6"/>
    <w:lvl w:ilvl="0" w:tplc="9BDA6C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D04539"/>
    <w:multiLevelType w:val="hybridMultilevel"/>
    <w:tmpl w:val="CECABB5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7CD0D91"/>
    <w:multiLevelType w:val="hybridMultilevel"/>
    <w:tmpl w:val="3196A7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A48F6"/>
    <w:multiLevelType w:val="hybridMultilevel"/>
    <w:tmpl w:val="01D6EC4A"/>
    <w:lvl w:ilvl="0" w:tplc="63AAD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1F3357"/>
    <w:multiLevelType w:val="hybridMultilevel"/>
    <w:tmpl w:val="7F740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618F4"/>
    <w:multiLevelType w:val="hybridMultilevel"/>
    <w:tmpl w:val="91C80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A238E8F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157C6"/>
    <w:multiLevelType w:val="hybridMultilevel"/>
    <w:tmpl w:val="17767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7113F"/>
    <w:multiLevelType w:val="hybridMultilevel"/>
    <w:tmpl w:val="DDB4D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245F0"/>
    <w:multiLevelType w:val="hybridMultilevel"/>
    <w:tmpl w:val="703666E8"/>
    <w:lvl w:ilvl="0" w:tplc="63AAD8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CB620C"/>
    <w:multiLevelType w:val="hybridMultilevel"/>
    <w:tmpl w:val="4F62B8A6"/>
    <w:lvl w:ilvl="0" w:tplc="63AAD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40382">
    <w:abstractNumId w:val="12"/>
  </w:num>
  <w:num w:numId="2" w16cid:durableId="15076663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4088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6750165">
    <w:abstractNumId w:val="14"/>
  </w:num>
  <w:num w:numId="5" w16cid:durableId="1297881439">
    <w:abstractNumId w:val="7"/>
  </w:num>
  <w:num w:numId="6" w16cid:durableId="567767913">
    <w:abstractNumId w:val="25"/>
  </w:num>
  <w:num w:numId="7" w16cid:durableId="818351539">
    <w:abstractNumId w:val="15"/>
  </w:num>
  <w:num w:numId="8" w16cid:durableId="882521448">
    <w:abstractNumId w:val="1"/>
  </w:num>
  <w:num w:numId="9" w16cid:durableId="173541582">
    <w:abstractNumId w:val="9"/>
  </w:num>
  <w:num w:numId="10" w16cid:durableId="2036613642">
    <w:abstractNumId w:val="27"/>
  </w:num>
  <w:num w:numId="11" w16cid:durableId="37510759">
    <w:abstractNumId w:val="5"/>
  </w:num>
  <w:num w:numId="12" w16cid:durableId="2058358918">
    <w:abstractNumId w:val="16"/>
  </w:num>
  <w:num w:numId="13" w16cid:durableId="1754812889">
    <w:abstractNumId w:val="8"/>
  </w:num>
  <w:num w:numId="14" w16cid:durableId="1101026494">
    <w:abstractNumId w:val="3"/>
  </w:num>
  <w:num w:numId="15" w16cid:durableId="1674336465">
    <w:abstractNumId w:val="17"/>
  </w:num>
  <w:num w:numId="16" w16cid:durableId="1991710331">
    <w:abstractNumId w:val="2"/>
  </w:num>
  <w:num w:numId="17" w16cid:durableId="1537695298">
    <w:abstractNumId w:val="22"/>
  </w:num>
  <w:num w:numId="18" w16cid:durableId="2127579576">
    <w:abstractNumId w:val="4"/>
  </w:num>
  <w:num w:numId="19" w16cid:durableId="628054944">
    <w:abstractNumId w:val="18"/>
  </w:num>
  <w:num w:numId="20" w16cid:durableId="489827254">
    <w:abstractNumId w:val="21"/>
  </w:num>
  <w:num w:numId="21" w16cid:durableId="1787771633">
    <w:abstractNumId w:val="11"/>
  </w:num>
  <w:num w:numId="22" w16cid:durableId="382365683">
    <w:abstractNumId w:val="24"/>
  </w:num>
  <w:num w:numId="23" w16cid:durableId="950673065">
    <w:abstractNumId w:val="19"/>
  </w:num>
  <w:num w:numId="24" w16cid:durableId="1497845695">
    <w:abstractNumId w:val="26"/>
  </w:num>
  <w:num w:numId="25" w16cid:durableId="2103915551">
    <w:abstractNumId w:val="13"/>
  </w:num>
  <w:num w:numId="26" w16cid:durableId="609355220">
    <w:abstractNumId w:val="20"/>
  </w:num>
  <w:num w:numId="27" w16cid:durableId="469909875">
    <w:abstractNumId w:val="10"/>
  </w:num>
  <w:num w:numId="28" w16cid:durableId="328020601">
    <w:abstractNumId w:val="0"/>
  </w:num>
  <w:num w:numId="29" w16cid:durableId="1439257467">
    <w:abstractNumId w:val="2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72"/>
    <w:rsid w:val="00000C13"/>
    <w:rsid w:val="00001092"/>
    <w:rsid w:val="00013614"/>
    <w:rsid w:val="00013FE1"/>
    <w:rsid w:val="00015490"/>
    <w:rsid w:val="00022E94"/>
    <w:rsid w:val="00023DAF"/>
    <w:rsid w:val="00034FCB"/>
    <w:rsid w:val="00037951"/>
    <w:rsid w:val="00040D39"/>
    <w:rsid w:val="000425F2"/>
    <w:rsid w:val="00055218"/>
    <w:rsid w:val="00062672"/>
    <w:rsid w:val="00066D87"/>
    <w:rsid w:val="0007094E"/>
    <w:rsid w:val="00086E5C"/>
    <w:rsid w:val="00091AAF"/>
    <w:rsid w:val="00092C8B"/>
    <w:rsid w:val="00094B0F"/>
    <w:rsid w:val="000A07AB"/>
    <w:rsid w:val="000B0098"/>
    <w:rsid w:val="000B2918"/>
    <w:rsid w:val="000B5ABF"/>
    <w:rsid w:val="000C3D8B"/>
    <w:rsid w:val="000D0B6A"/>
    <w:rsid w:val="000E0412"/>
    <w:rsid w:val="000E04D2"/>
    <w:rsid w:val="000E384E"/>
    <w:rsid w:val="000E7B99"/>
    <w:rsid w:val="000F0BDA"/>
    <w:rsid w:val="000F3A9E"/>
    <w:rsid w:val="0010506E"/>
    <w:rsid w:val="00107527"/>
    <w:rsid w:val="00113B65"/>
    <w:rsid w:val="00114F11"/>
    <w:rsid w:val="001168E6"/>
    <w:rsid w:val="00117DE1"/>
    <w:rsid w:val="00120B2A"/>
    <w:rsid w:val="001345E7"/>
    <w:rsid w:val="00142A4B"/>
    <w:rsid w:val="001476AD"/>
    <w:rsid w:val="00147A42"/>
    <w:rsid w:val="00150121"/>
    <w:rsid w:val="001514DE"/>
    <w:rsid w:val="00156CC6"/>
    <w:rsid w:val="00161ACD"/>
    <w:rsid w:val="001732C7"/>
    <w:rsid w:val="00174649"/>
    <w:rsid w:val="0018211B"/>
    <w:rsid w:val="00195915"/>
    <w:rsid w:val="001B2A3B"/>
    <w:rsid w:val="001B3031"/>
    <w:rsid w:val="001B31CC"/>
    <w:rsid w:val="001B410E"/>
    <w:rsid w:val="001C0494"/>
    <w:rsid w:val="001C5DBE"/>
    <w:rsid w:val="001C7657"/>
    <w:rsid w:val="001E1BFD"/>
    <w:rsid w:val="001E1C56"/>
    <w:rsid w:val="001E1C97"/>
    <w:rsid w:val="001E7F81"/>
    <w:rsid w:val="001F4226"/>
    <w:rsid w:val="001F69B6"/>
    <w:rsid w:val="001F7354"/>
    <w:rsid w:val="00204ABA"/>
    <w:rsid w:val="00211223"/>
    <w:rsid w:val="00220853"/>
    <w:rsid w:val="00221F88"/>
    <w:rsid w:val="00226021"/>
    <w:rsid w:val="002359E0"/>
    <w:rsid w:val="002408D6"/>
    <w:rsid w:val="0024151A"/>
    <w:rsid w:val="0024577D"/>
    <w:rsid w:val="00250598"/>
    <w:rsid w:val="00255B63"/>
    <w:rsid w:val="00261CBB"/>
    <w:rsid w:val="00264F4B"/>
    <w:rsid w:val="00271B9D"/>
    <w:rsid w:val="002733CA"/>
    <w:rsid w:val="00284483"/>
    <w:rsid w:val="00294934"/>
    <w:rsid w:val="002955B7"/>
    <w:rsid w:val="002968D5"/>
    <w:rsid w:val="002B003E"/>
    <w:rsid w:val="002B0C5A"/>
    <w:rsid w:val="002C128B"/>
    <w:rsid w:val="002C33EE"/>
    <w:rsid w:val="002E015D"/>
    <w:rsid w:val="002E499E"/>
    <w:rsid w:val="00300D51"/>
    <w:rsid w:val="00305AA2"/>
    <w:rsid w:val="00310DA9"/>
    <w:rsid w:val="0031204B"/>
    <w:rsid w:val="003126E5"/>
    <w:rsid w:val="003167DF"/>
    <w:rsid w:val="00316C34"/>
    <w:rsid w:val="003252A0"/>
    <w:rsid w:val="003329DF"/>
    <w:rsid w:val="00342C3A"/>
    <w:rsid w:val="00345DA7"/>
    <w:rsid w:val="0035512E"/>
    <w:rsid w:val="0036394E"/>
    <w:rsid w:val="00364E39"/>
    <w:rsid w:val="00365F42"/>
    <w:rsid w:val="00366DD4"/>
    <w:rsid w:val="00374057"/>
    <w:rsid w:val="00380AB5"/>
    <w:rsid w:val="003815F5"/>
    <w:rsid w:val="00391F2F"/>
    <w:rsid w:val="003A30BE"/>
    <w:rsid w:val="003B1A3B"/>
    <w:rsid w:val="003B316B"/>
    <w:rsid w:val="003C02F4"/>
    <w:rsid w:val="003C4F6C"/>
    <w:rsid w:val="003D5D1E"/>
    <w:rsid w:val="003E0133"/>
    <w:rsid w:val="003F2950"/>
    <w:rsid w:val="003F528F"/>
    <w:rsid w:val="00400F86"/>
    <w:rsid w:val="00413D98"/>
    <w:rsid w:val="00420728"/>
    <w:rsid w:val="00423044"/>
    <w:rsid w:val="004326C6"/>
    <w:rsid w:val="00443F69"/>
    <w:rsid w:val="00447C97"/>
    <w:rsid w:val="004546D0"/>
    <w:rsid w:val="00457D7C"/>
    <w:rsid w:val="00463B47"/>
    <w:rsid w:val="00475749"/>
    <w:rsid w:val="00483431"/>
    <w:rsid w:val="00483ABF"/>
    <w:rsid w:val="00484835"/>
    <w:rsid w:val="004909E0"/>
    <w:rsid w:val="00493048"/>
    <w:rsid w:val="00493443"/>
    <w:rsid w:val="0049442D"/>
    <w:rsid w:val="004A026A"/>
    <w:rsid w:val="004A6043"/>
    <w:rsid w:val="004A7AB1"/>
    <w:rsid w:val="004B2514"/>
    <w:rsid w:val="004B59F1"/>
    <w:rsid w:val="004C528E"/>
    <w:rsid w:val="004D0B86"/>
    <w:rsid w:val="004D7B22"/>
    <w:rsid w:val="004E16B6"/>
    <w:rsid w:val="004E6DD8"/>
    <w:rsid w:val="00500A50"/>
    <w:rsid w:val="00504E2E"/>
    <w:rsid w:val="00532BF2"/>
    <w:rsid w:val="00535211"/>
    <w:rsid w:val="0053526E"/>
    <w:rsid w:val="005360FC"/>
    <w:rsid w:val="0054564F"/>
    <w:rsid w:val="005457D0"/>
    <w:rsid w:val="005466D0"/>
    <w:rsid w:val="00557BA2"/>
    <w:rsid w:val="00564399"/>
    <w:rsid w:val="005647A6"/>
    <w:rsid w:val="00590B90"/>
    <w:rsid w:val="00591D8D"/>
    <w:rsid w:val="00594EDB"/>
    <w:rsid w:val="005A152F"/>
    <w:rsid w:val="005A623B"/>
    <w:rsid w:val="005B4F1C"/>
    <w:rsid w:val="005D0F9E"/>
    <w:rsid w:val="005D3261"/>
    <w:rsid w:val="005D574C"/>
    <w:rsid w:val="005E0081"/>
    <w:rsid w:val="005E4596"/>
    <w:rsid w:val="005F7C07"/>
    <w:rsid w:val="006030EE"/>
    <w:rsid w:val="00604ECF"/>
    <w:rsid w:val="00607D4F"/>
    <w:rsid w:val="00610570"/>
    <w:rsid w:val="0061339C"/>
    <w:rsid w:val="00613978"/>
    <w:rsid w:val="00617067"/>
    <w:rsid w:val="00620ABA"/>
    <w:rsid w:val="00620E27"/>
    <w:rsid w:val="00622CF0"/>
    <w:rsid w:val="0062507E"/>
    <w:rsid w:val="0063340D"/>
    <w:rsid w:val="00640235"/>
    <w:rsid w:val="0064300A"/>
    <w:rsid w:val="006511FE"/>
    <w:rsid w:val="0065147F"/>
    <w:rsid w:val="00663FC6"/>
    <w:rsid w:val="00672C04"/>
    <w:rsid w:val="0068110E"/>
    <w:rsid w:val="00682E4D"/>
    <w:rsid w:val="00695373"/>
    <w:rsid w:val="006A7DFB"/>
    <w:rsid w:val="006A7FC4"/>
    <w:rsid w:val="006B500E"/>
    <w:rsid w:val="006D3AA2"/>
    <w:rsid w:val="006E05BA"/>
    <w:rsid w:val="006E22FB"/>
    <w:rsid w:val="006F7090"/>
    <w:rsid w:val="00704A22"/>
    <w:rsid w:val="00711CA7"/>
    <w:rsid w:val="00711D7A"/>
    <w:rsid w:val="007126BD"/>
    <w:rsid w:val="00712750"/>
    <w:rsid w:val="00722181"/>
    <w:rsid w:val="007263F8"/>
    <w:rsid w:val="00730823"/>
    <w:rsid w:val="00736056"/>
    <w:rsid w:val="0073713C"/>
    <w:rsid w:val="00742764"/>
    <w:rsid w:val="00744AA1"/>
    <w:rsid w:val="00747B83"/>
    <w:rsid w:val="007817F6"/>
    <w:rsid w:val="007913E3"/>
    <w:rsid w:val="00792D5F"/>
    <w:rsid w:val="0079795F"/>
    <w:rsid w:val="007A5CCA"/>
    <w:rsid w:val="007A5EFE"/>
    <w:rsid w:val="007B0763"/>
    <w:rsid w:val="007B1D9D"/>
    <w:rsid w:val="007B539C"/>
    <w:rsid w:val="007C3128"/>
    <w:rsid w:val="007D5B8F"/>
    <w:rsid w:val="007D784C"/>
    <w:rsid w:val="007E107B"/>
    <w:rsid w:val="007F0D4F"/>
    <w:rsid w:val="007F3EB6"/>
    <w:rsid w:val="007F42F4"/>
    <w:rsid w:val="0080220D"/>
    <w:rsid w:val="00802D95"/>
    <w:rsid w:val="00804844"/>
    <w:rsid w:val="00822D25"/>
    <w:rsid w:val="00824575"/>
    <w:rsid w:val="00825196"/>
    <w:rsid w:val="00826766"/>
    <w:rsid w:val="00832F6F"/>
    <w:rsid w:val="00840AEF"/>
    <w:rsid w:val="00842623"/>
    <w:rsid w:val="00850E97"/>
    <w:rsid w:val="00854C19"/>
    <w:rsid w:val="00856FBE"/>
    <w:rsid w:val="00860910"/>
    <w:rsid w:val="008662BC"/>
    <w:rsid w:val="00866A1D"/>
    <w:rsid w:val="00870B34"/>
    <w:rsid w:val="00877849"/>
    <w:rsid w:val="0088490A"/>
    <w:rsid w:val="0089141D"/>
    <w:rsid w:val="008948AC"/>
    <w:rsid w:val="0089547B"/>
    <w:rsid w:val="008A3C75"/>
    <w:rsid w:val="008B1778"/>
    <w:rsid w:val="008B7384"/>
    <w:rsid w:val="008B76C5"/>
    <w:rsid w:val="008C1305"/>
    <w:rsid w:val="008C653B"/>
    <w:rsid w:val="008D3552"/>
    <w:rsid w:val="008E5EB9"/>
    <w:rsid w:val="008F2FF9"/>
    <w:rsid w:val="008F3475"/>
    <w:rsid w:val="00907756"/>
    <w:rsid w:val="0093042B"/>
    <w:rsid w:val="00931BC5"/>
    <w:rsid w:val="00935224"/>
    <w:rsid w:val="00936409"/>
    <w:rsid w:val="00942DBE"/>
    <w:rsid w:val="00947375"/>
    <w:rsid w:val="00953ED0"/>
    <w:rsid w:val="00954A23"/>
    <w:rsid w:val="00954B29"/>
    <w:rsid w:val="00960091"/>
    <w:rsid w:val="009605EA"/>
    <w:rsid w:val="00962403"/>
    <w:rsid w:val="00964BBD"/>
    <w:rsid w:val="00965132"/>
    <w:rsid w:val="00974438"/>
    <w:rsid w:val="00980CAD"/>
    <w:rsid w:val="00982929"/>
    <w:rsid w:val="0098445E"/>
    <w:rsid w:val="00994329"/>
    <w:rsid w:val="009A21F0"/>
    <w:rsid w:val="009A3440"/>
    <w:rsid w:val="009A353D"/>
    <w:rsid w:val="009A40C9"/>
    <w:rsid w:val="009C229C"/>
    <w:rsid w:val="009C2F36"/>
    <w:rsid w:val="009C41C4"/>
    <w:rsid w:val="009C4620"/>
    <w:rsid w:val="009C5510"/>
    <w:rsid w:val="009C59AB"/>
    <w:rsid w:val="009E68B1"/>
    <w:rsid w:val="009F1685"/>
    <w:rsid w:val="009F4193"/>
    <w:rsid w:val="00A02B72"/>
    <w:rsid w:val="00A34620"/>
    <w:rsid w:val="00A4366E"/>
    <w:rsid w:val="00A45C39"/>
    <w:rsid w:val="00A475E4"/>
    <w:rsid w:val="00A54418"/>
    <w:rsid w:val="00A60D7E"/>
    <w:rsid w:val="00A67888"/>
    <w:rsid w:val="00A70957"/>
    <w:rsid w:val="00A71BF4"/>
    <w:rsid w:val="00A8508B"/>
    <w:rsid w:val="00A91040"/>
    <w:rsid w:val="00A91BDA"/>
    <w:rsid w:val="00A9243B"/>
    <w:rsid w:val="00A9470A"/>
    <w:rsid w:val="00A96DB6"/>
    <w:rsid w:val="00AA3B30"/>
    <w:rsid w:val="00AB16BE"/>
    <w:rsid w:val="00AB1951"/>
    <w:rsid w:val="00AB7E80"/>
    <w:rsid w:val="00AC08B1"/>
    <w:rsid w:val="00AC0B72"/>
    <w:rsid w:val="00AE2A67"/>
    <w:rsid w:val="00AE471A"/>
    <w:rsid w:val="00AF44DA"/>
    <w:rsid w:val="00AF456D"/>
    <w:rsid w:val="00AF5F72"/>
    <w:rsid w:val="00B07C23"/>
    <w:rsid w:val="00B1371E"/>
    <w:rsid w:val="00B1561E"/>
    <w:rsid w:val="00B15DD0"/>
    <w:rsid w:val="00B20FD3"/>
    <w:rsid w:val="00B31CE5"/>
    <w:rsid w:val="00B33820"/>
    <w:rsid w:val="00B45B5D"/>
    <w:rsid w:val="00B467D4"/>
    <w:rsid w:val="00B51096"/>
    <w:rsid w:val="00B536C7"/>
    <w:rsid w:val="00B81B3D"/>
    <w:rsid w:val="00B85079"/>
    <w:rsid w:val="00BA0446"/>
    <w:rsid w:val="00BA7838"/>
    <w:rsid w:val="00BB4E83"/>
    <w:rsid w:val="00BB7BBC"/>
    <w:rsid w:val="00BD3A0A"/>
    <w:rsid w:val="00BD59E4"/>
    <w:rsid w:val="00BE1E35"/>
    <w:rsid w:val="00BE2838"/>
    <w:rsid w:val="00BE4460"/>
    <w:rsid w:val="00BE6566"/>
    <w:rsid w:val="00BF0AB6"/>
    <w:rsid w:val="00BF7750"/>
    <w:rsid w:val="00C01EE4"/>
    <w:rsid w:val="00C062BE"/>
    <w:rsid w:val="00C067E1"/>
    <w:rsid w:val="00C13476"/>
    <w:rsid w:val="00C20B1D"/>
    <w:rsid w:val="00C237FC"/>
    <w:rsid w:val="00C23952"/>
    <w:rsid w:val="00C270D6"/>
    <w:rsid w:val="00C31997"/>
    <w:rsid w:val="00C3404C"/>
    <w:rsid w:val="00C57A5B"/>
    <w:rsid w:val="00C650FA"/>
    <w:rsid w:val="00C66EC5"/>
    <w:rsid w:val="00C67924"/>
    <w:rsid w:val="00C71E2F"/>
    <w:rsid w:val="00C846BE"/>
    <w:rsid w:val="00C86ACF"/>
    <w:rsid w:val="00CA411F"/>
    <w:rsid w:val="00CA4300"/>
    <w:rsid w:val="00CA4AC9"/>
    <w:rsid w:val="00CA5C12"/>
    <w:rsid w:val="00CA730E"/>
    <w:rsid w:val="00CA773E"/>
    <w:rsid w:val="00CB6845"/>
    <w:rsid w:val="00CB7755"/>
    <w:rsid w:val="00CC010E"/>
    <w:rsid w:val="00CE1440"/>
    <w:rsid w:val="00CE22B6"/>
    <w:rsid w:val="00CF2E10"/>
    <w:rsid w:val="00CF50A5"/>
    <w:rsid w:val="00D0251C"/>
    <w:rsid w:val="00D05E87"/>
    <w:rsid w:val="00D064D9"/>
    <w:rsid w:val="00D13435"/>
    <w:rsid w:val="00D141A9"/>
    <w:rsid w:val="00D22C93"/>
    <w:rsid w:val="00D25ED8"/>
    <w:rsid w:val="00D37927"/>
    <w:rsid w:val="00D450EF"/>
    <w:rsid w:val="00D4691B"/>
    <w:rsid w:val="00D517B9"/>
    <w:rsid w:val="00D61705"/>
    <w:rsid w:val="00D6392C"/>
    <w:rsid w:val="00D65F19"/>
    <w:rsid w:val="00D71540"/>
    <w:rsid w:val="00D7259C"/>
    <w:rsid w:val="00D80A8B"/>
    <w:rsid w:val="00D86683"/>
    <w:rsid w:val="00DA1D2D"/>
    <w:rsid w:val="00DA719C"/>
    <w:rsid w:val="00DB6290"/>
    <w:rsid w:val="00DB6929"/>
    <w:rsid w:val="00DC01B0"/>
    <w:rsid w:val="00DC5C1C"/>
    <w:rsid w:val="00DC5CB6"/>
    <w:rsid w:val="00DC77A8"/>
    <w:rsid w:val="00DD6510"/>
    <w:rsid w:val="00DE5228"/>
    <w:rsid w:val="00DF5845"/>
    <w:rsid w:val="00E004DB"/>
    <w:rsid w:val="00E020CC"/>
    <w:rsid w:val="00E06C53"/>
    <w:rsid w:val="00E119A1"/>
    <w:rsid w:val="00E12E3B"/>
    <w:rsid w:val="00E20618"/>
    <w:rsid w:val="00E20641"/>
    <w:rsid w:val="00E23C33"/>
    <w:rsid w:val="00E26A3D"/>
    <w:rsid w:val="00E30880"/>
    <w:rsid w:val="00E30E33"/>
    <w:rsid w:val="00E31D47"/>
    <w:rsid w:val="00E50AFF"/>
    <w:rsid w:val="00E57591"/>
    <w:rsid w:val="00E579B8"/>
    <w:rsid w:val="00E632D6"/>
    <w:rsid w:val="00E63F17"/>
    <w:rsid w:val="00E657AB"/>
    <w:rsid w:val="00E66E89"/>
    <w:rsid w:val="00E71309"/>
    <w:rsid w:val="00E73C72"/>
    <w:rsid w:val="00E76449"/>
    <w:rsid w:val="00E869DB"/>
    <w:rsid w:val="00E878B6"/>
    <w:rsid w:val="00E90B7D"/>
    <w:rsid w:val="00E921DF"/>
    <w:rsid w:val="00E94EF0"/>
    <w:rsid w:val="00EA4A0F"/>
    <w:rsid w:val="00EA5729"/>
    <w:rsid w:val="00EB6673"/>
    <w:rsid w:val="00EB6674"/>
    <w:rsid w:val="00EB7DC8"/>
    <w:rsid w:val="00EC4B25"/>
    <w:rsid w:val="00ED56EA"/>
    <w:rsid w:val="00EE34C4"/>
    <w:rsid w:val="00EE38E7"/>
    <w:rsid w:val="00EE63EA"/>
    <w:rsid w:val="00EE6B5A"/>
    <w:rsid w:val="00EE7762"/>
    <w:rsid w:val="00EF1A4D"/>
    <w:rsid w:val="00EF2C71"/>
    <w:rsid w:val="00EF3C04"/>
    <w:rsid w:val="00EF61DB"/>
    <w:rsid w:val="00F005BE"/>
    <w:rsid w:val="00F02A51"/>
    <w:rsid w:val="00F0749B"/>
    <w:rsid w:val="00F07B43"/>
    <w:rsid w:val="00F17F8C"/>
    <w:rsid w:val="00F22D3F"/>
    <w:rsid w:val="00F26696"/>
    <w:rsid w:val="00F30ABC"/>
    <w:rsid w:val="00F36874"/>
    <w:rsid w:val="00F405CA"/>
    <w:rsid w:val="00F45B5B"/>
    <w:rsid w:val="00F54772"/>
    <w:rsid w:val="00F62735"/>
    <w:rsid w:val="00F6456A"/>
    <w:rsid w:val="00F652DE"/>
    <w:rsid w:val="00F8304C"/>
    <w:rsid w:val="00F83272"/>
    <w:rsid w:val="00F83356"/>
    <w:rsid w:val="00F8359E"/>
    <w:rsid w:val="00FA1252"/>
    <w:rsid w:val="00FA3F66"/>
    <w:rsid w:val="00FA6D81"/>
    <w:rsid w:val="00FA7980"/>
    <w:rsid w:val="00FD401B"/>
    <w:rsid w:val="00FD4B16"/>
    <w:rsid w:val="00FE0E3F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62307"/>
  <w15:docId w15:val="{B6969944-3F91-4B91-8832-B14BC2F2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84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7D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2B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2B72"/>
  </w:style>
  <w:style w:type="paragraph" w:styleId="Zpat">
    <w:name w:val="footer"/>
    <w:basedOn w:val="Normln"/>
    <w:link w:val="ZpatChar"/>
    <w:uiPriority w:val="99"/>
    <w:unhideWhenUsed/>
    <w:rsid w:val="00A02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2B72"/>
  </w:style>
  <w:style w:type="paragraph" w:styleId="Textpoznpodarou">
    <w:name w:val="footnote text"/>
    <w:basedOn w:val="Normln"/>
    <w:link w:val="TextpoznpodarouChar"/>
    <w:uiPriority w:val="99"/>
    <w:unhideWhenUsed/>
    <w:rsid w:val="00A02B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2B7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02B72"/>
    <w:rPr>
      <w:vertAlign w:val="superscript"/>
    </w:rPr>
  </w:style>
  <w:style w:type="paragraph" w:customStyle="1" w:styleId="CharChar1CharCharChar">
    <w:name w:val="Char Char1 Char Char Char"/>
    <w:basedOn w:val="Normln"/>
    <w:rsid w:val="001514DE"/>
    <w:pPr>
      <w:spacing w:after="160" w:line="240" w:lineRule="exact"/>
    </w:pPr>
    <w:rPr>
      <w:rFonts w:ascii="Times New Roman" w:eastAsia="Times New Roman" w:hAnsi="Times New Roman" w:cs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4D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C846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C846B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0F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0F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0F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0F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0F86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13D98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682E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82E4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682E4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Nzvylnk">
    <w:name w:val="Názvy článků"/>
    <w:basedOn w:val="slalnk"/>
    <w:rsid w:val="00682E4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682E4D"/>
    <w:pPr>
      <w:keepLines/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F405C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F405C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Char1">
    <w:name w:val="Základní text Char1"/>
    <w:basedOn w:val="Standardnpsmoodstavce"/>
    <w:uiPriority w:val="99"/>
    <w:locked/>
    <w:rsid w:val="00730823"/>
    <w:rPr>
      <w:rFonts w:cs="Times New Roman"/>
      <w:sz w:val="23"/>
      <w:szCs w:val="23"/>
      <w:u w:val="none"/>
    </w:rPr>
  </w:style>
  <w:style w:type="character" w:customStyle="1" w:styleId="Heading2">
    <w:name w:val="Heading #2_"/>
    <w:basedOn w:val="Standardnpsmoodstavce"/>
    <w:link w:val="Heading20"/>
    <w:uiPriority w:val="99"/>
    <w:locked/>
    <w:rsid w:val="00730823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ln"/>
    <w:link w:val="Heading2"/>
    <w:uiPriority w:val="99"/>
    <w:rsid w:val="00730823"/>
    <w:pPr>
      <w:widowControl w:val="0"/>
      <w:shd w:val="clear" w:color="auto" w:fill="FFFFFF"/>
      <w:spacing w:before="360" w:after="0" w:line="274" w:lineRule="exact"/>
      <w:jc w:val="both"/>
      <w:outlineLvl w:val="1"/>
    </w:pPr>
    <w:rPr>
      <w:b/>
      <w:bCs/>
      <w:sz w:val="23"/>
      <w:szCs w:val="23"/>
    </w:rPr>
  </w:style>
  <w:style w:type="character" w:customStyle="1" w:styleId="BodytextBold">
    <w:name w:val="Body text + Bold"/>
    <w:basedOn w:val="ZkladntextChar1"/>
    <w:uiPriority w:val="99"/>
    <w:rsid w:val="00730823"/>
    <w:rPr>
      <w:rFonts w:cs="Times New Roman"/>
      <w:b/>
      <w:bCs/>
      <w:sz w:val="23"/>
      <w:szCs w:val="23"/>
      <w:u w:val="none"/>
    </w:rPr>
  </w:style>
  <w:style w:type="character" w:customStyle="1" w:styleId="Bodytext4">
    <w:name w:val="Body text (4)_"/>
    <w:basedOn w:val="Standardnpsmoodstavce"/>
    <w:link w:val="Bodytext40"/>
    <w:uiPriority w:val="99"/>
    <w:locked/>
    <w:rsid w:val="00730823"/>
    <w:rPr>
      <w:b/>
      <w:bCs/>
      <w:sz w:val="23"/>
      <w:szCs w:val="23"/>
      <w:shd w:val="clear" w:color="auto" w:fill="FFFFFF"/>
    </w:rPr>
  </w:style>
  <w:style w:type="character" w:customStyle="1" w:styleId="Tablecaption">
    <w:name w:val="Table caption_"/>
    <w:basedOn w:val="Standardnpsmoodstavce"/>
    <w:link w:val="Tablecaption0"/>
    <w:uiPriority w:val="99"/>
    <w:locked/>
    <w:rsid w:val="00730823"/>
    <w:rPr>
      <w:b/>
      <w:bCs/>
      <w:sz w:val="23"/>
      <w:szCs w:val="23"/>
      <w:shd w:val="clear" w:color="auto" w:fill="FFFFFF"/>
    </w:rPr>
  </w:style>
  <w:style w:type="paragraph" w:customStyle="1" w:styleId="Bodytext40">
    <w:name w:val="Body text (4)"/>
    <w:basedOn w:val="Normln"/>
    <w:link w:val="Bodytext4"/>
    <w:uiPriority w:val="99"/>
    <w:rsid w:val="00730823"/>
    <w:pPr>
      <w:widowControl w:val="0"/>
      <w:shd w:val="clear" w:color="auto" w:fill="FFFFFF"/>
      <w:spacing w:after="0" w:line="240" w:lineRule="atLeast"/>
    </w:pPr>
    <w:rPr>
      <w:b/>
      <w:bCs/>
      <w:sz w:val="23"/>
      <w:szCs w:val="23"/>
    </w:rPr>
  </w:style>
  <w:style w:type="paragraph" w:customStyle="1" w:styleId="Tablecaption0">
    <w:name w:val="Table caption"/>
    <w:basedOn w:val="Normln"/>
    <w:link w:val="Tablecaption"/>
    <w:uiPriority w:val="99"/>
    <w:rsid w:val="00730823"/>
    <w:pPr>
      <w:widowControl w:val="0"/>
      <w:shd w:val="clear" w:color="auto" w:fill="FFFFFF"/>
      <w:spacing w:after="0" w:line="240" w:lineRule="atLeast"/>
    </w:pPr>
    <w:rPr>
      <w:b/>
      <w:bCs/>
      <w:sz w:val="23"/>
      <w:szCs w:val="23"/>
    </w:rPr>
  </w:style>
  <w:style w:type="character" w:customStyle="1" w:styleId="BodytextSpacing1pt">
    <w:name w:val="Body text + Spacing 1 pt"/>
    <w:basedOn w:val="ZkladntextChar1"/>
    <w:uiPriority w:val="99"/>
    <w:rsid w:val="00730823"/>
    <w:rPr>
      <w:rFonts w:cs="Times New Roman"/>
      <w:spacing w:val="30"/>
      <w:sz w:val="23"/>
      <w:szCs w:val="23"/>
      <w:u w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7D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C1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EB84-3B2F-47C6-804C-C2309F23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1444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Hana jakubčíková</cp:lastModifiedBy>
  <cp:revision>2</cp:revision>
  <cp:lastPrinted>2020-09-01T10:45:00Z</cp:lastPrinted>
  <dcterms:created xsi:type="dcterms:W3CDTF">2024-06-21T06:14:00Z</dcterms:created>
  <dcterms:modified xsi:type="dcterms:W3CDTF">2024-06-21T06:14:00Z</dcterms:modified>
</cp:coreProperties>
</file>