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adpis2"/>
        <w:spacing w:lineRule="atLeast" w:line="280"/>
        <w:jc w:val="center"/>
        <w:rPr/>
      </w:pPr>
      <w:r>
        <w:rPr/>
      </w:r>
    </w:p>
    <w:p>
      <w:pPr>
        <w:pStyle w:val="Normal"/>
        <w:spacing w:lineRule="auto" w:line="276"/>
        <w:jc w:val="center"/>
        <w:rPr>
          <w:rFonts w:ascii="Arial" w:hAnsi="Arial" w:eastAsia="Times New Roman" w:cs="Arial"/>
          <w:b/>
          <w:b/>
          <w:color w:val="auto"/>
          <w:kern w:val="0"/>
          <w:sz w:val="24"/>
          <w:szCs w:val="24"/>
          <w:lang w:val="cs-CZ" w:eastAsia="cs-CZ" w:bidi="ar-SA"/>
        </w:rPr>
      </w:pPr>
      <w:r>
        <w:rPr>
          <w:rFonts w:eastAsia="Times New Roman" w:cs="Arial" w:ascii="Arial" w:hAnsi="Arial"/>
          <w:b/>
          <w:color w:val="auto"/>
          <w:kern w:val="0"/>
          <w:sz w:val="24"/>
          <w:szCs w:val="24"/>
          <w:lang w:val="cs-CZ" w:eastAsia="cs-CZ" w:bidi="ar-SA"/>
        </w:rPr>
        <w:t>MĚSTO POTŠTÁT</w:t>
      </w:r>
    </w:p>
    <w:p>
      <w:pPr>
        <w:pStyle w:val="Normal"/>
        <w:spacing w:lineRule="auto" w:line="276"/>
        <w:jc w:val="center"/>
        <w:rPr/>
      </w:pPr>
      <w:r>
        <w:rPr>
          <w:rFonts w:cs="Arial" w:ascii="Arial" w:hAnsi="Arial"/>
          <w:b/>
        </w:rPr>
        <w:t xml:space="preserve">Zastupitelstvo </w:t>
      </w:r>
      <w:r>
        <w:rPr>
          <w:rFonts w:eastAsia="Times New Roman" w:cs="Arial" w:ascii="Arial" w:hAnsi="Arial"/>
          <w:b/>
          <w:color w:val="auto"/>
          <w:kern w:val="0"/>
          <w:sz w:val="24"/>
          <w:szCs w:val="24"/>
          <w:lang w:val="cs-CZ" w:eastAsia="cs-CZ" w:bidi="ar-SA"/>
        </w:rPr>
        <w:t>města Potštát</w:t>
      </w:r>
    </w:p>
    <w:p>
      <w:pPr>
        <w:pStyle w:val="Normal"/>
        <w:spacing w:lineRule="auto" w:line="276"/>
        <w:jc w:val="center"/>
        <w:rPr/>
      </w:pPr>
      <w:r>
        <w:rPr>
          <w:rFonts w:cs="Arial" w:ascii="Arial" w:hAnsi="Arial"/>
          <w:b/>
        </w:rPr>
        <w:t xml:space="preserve">Obecně závazná vyhláška </w:t>
      </w:r>
      <w:r>
        <w:rPr>
          <w:rFonts w:eastAsia="Times New Roman" w:cs="Arial" w:ascii="Arial" w:hAnsi="Arial"/>
          <w:b/>
          <w:color w:val="auto"/>
          <w:kern w:val="0"/>
          <w:sz w:val="24"/>
          <w:szCs w:val="24"/>
          <w:lang w:val="cs-CZ" w:eastAsia="cs-CZ" w:bidi="ar-SA"/>
        </w:rPr>
        <w:t>města</w:t>
      </w:r>
      <w:r>
        <w:rPr>
          <w:rFonts w:cs="Arial" w:ascii="Arial" w:hAnsi="Arial"/>
          <w:b/>
        </w:rPr>
        <w:t>,</w:t>
      </w:r>
    </w:p>
    <w:p>
      <w:pPr>
        <w:pStyle w:val="Normal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 místním poplatku za obecní systém odpadového hospodářství</w:t>
      </w:r>
    </w:p>
    <w:p>
      <w:pPr>
        <w:pStyle w:val="Nzevzkona"/>
        <w:tabs>
          <w:tab w:val="clear" w:pos="708"/>
          <w:tab w:val="left" w:pos="2977" w:leader="none"/>
        </w:tabs>
        <w:spacing w:lineRule="auto" w:line="264" w:before="0" w:after="0"/>
        <w:jc w:val="both"/>
        <w:rPr>
          <w:rFonts w:ascii="Arial" w:hAnsi="Arial" w:cs="Arial"/>
          <w:b w:val="false"/>
          <w:b w:val="false"/>
          <w:sz w:val="22"/>
          <w:szCs w:val="22"/>
        </w:rPr>
      </w:pPr>
      <w:r>
        <w:rPr>
          <w:rFonts w:cs="Arial" w:ascii="Arial" w:hAnsi="Arial"/>
          <w:b w:val="false"/>
          <w:sz w:val="22"/>
          <w:szCs w:val="22"/>
        </w:rPr>
      </w:r>
    </w:p>
    <w:p>
      <w:pPr>
        <w:pStyle w:val="Nzevzkona"/>
        <w:tabs>
          <w:tab w:val="clear" w:pos="708"/>
          <w:tab w:val="left" w:pos="2977" w:leader="none"/>
        </w:tabs>
        <w:spacing w:lineRule="auto" w:line="264" w:before="0" w:after="0"/>
        <w:jc w:val="both"/>
        <w:rPr/>
      </w:pPr>
      <w:r>
        <w:rPr>
          <w:rFonts w:cs="Arial" w:ascii="Arial" w:hAnsi="Arial"/>
          <w:b w:val="false"/>
          <w:sz w:val="22"/>
          <w:szCs w:val="22"/>
        </w:rPr>
        <w:t xml:space="preserve">Zastupitelstvo </w:t>
      </w:r>
      <w:r>
        <w:rPr>
          <w:rFonts w:eastAsia="Times New Roman" w:cs="Arial" w:ascii="Arial" w:hAnsi="Arial"/>
          <w:b w:val="false"/>
          <w:bCs/>
          <w:color w:val="auto"/>
          <w:kern w:val="2"/>
          <w:sz w:val="22"/>
          <w:szCs w:val="22"/>
          <w:lang w:val="cs-CZ" w:eastAsia="cs-CZ" w:bidi="ar-SA"/>
        </w:rPr>
        <w:t>města Potštát</w:t>
      </w:r>
      <w:r>
        <w:rPr>
          <w:rFonts w:cs="Arial" w:ascii="Arial" w:hAnsi="Arial"/>
          <w:b w:val="false"/>
          <w:sz w:val="22"/>
          <w:szCs w:val="22"/>
        </w:rPr>
        <w:t xml:space="preserve"> se na svém zasedání dne </w:t>
      </w:r>
      <w:r>
        <w:rPr>
          <w:rFonts w:eastAsia="Times New Roman" w:cs="Arial" w:ascii="Arial" w:hAnsi="Arial"/>
          <w:b w:val="false"/>
          <w:bCs/>
          <w:color w:val="auto"/>
          <w:kern w:val="2"/>
          <w:sz w:val="22"/>
          <w:szCs w:val="22"/>
          <w:lang w:val="cs-CZ" w:eastAsia="cs-CZ" w:bidi="ar-SA"/>
        </w:rPr>
        <w:t xml:space="preserve">7.12.2022 </w:t>
      </w:r>
      <w:r>
        <w:rPr>
          <w:rFonts w:cs="Arial" w:ascii="Arial" w:hAnsi="Arial"/>
          <w:b w:val="false"/>
          <w:sz w:val="22"/>
          <w:szCs w:val="22"/>
        </w:rPr>
        <w:t xml:space="preserve">usnesením č. </w:t>
      </w:r>
      <w:r>
        <w:rPr>
          <w:rFonts w:eastAsia="Times New Roman" w:cs="Arial" w:ascii="Arial" w:hAnsi="Arial"/>
          <w:b w:val="false"/>
          <w:bCs/>
          <w:color w:val="auto"/>
          <w:kern w:val="2"/>
          <w:sz w:val="22"/>
          <w:szCs w:val="22"/>
          <w:lang w:val="cs-CZ" w:eastAsia="cs-CZ" w:bidi="ar-SA"/>
        </w:rPr>
        <w:t>9a/3Z/2022</w:t>
      </w:r>
      <w:r>
        <w:rPr>
          <w:rFonts w:cs="Arial" w:ascii="Arial" w:hAnsi="Arial"/>
          <w:b w:val="false"/>
          <w:sz w:val="22"/>
          <w:szCs w:val="22"/>
        </w:rPr>
        <w:t xml:space="preserve"> usneslo vydat na základě</w:t>
      </w:r>
      <w:r>
        <w:rPr>
          <w:rFonts w:cs="Arial" w:ascii="Arial" w:hAnsi="Arial"/>
          <w:b w:val="false"/>
          <w:bCs w:val="false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</w:t>
        <w:br/>
        <w:t xml:space="preserve">a § 84 odst. 2 písm. h) zákona č. 128/2000 Sb., o obcích (obecní zřízení), ve znění pozdějších předpisů, tuto obecně závaznou vyhlášku (dále jen „tato vyhláška“): 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1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Úvodní ustanovení</w:t>
      </w:r>
    </w:p>
    <w:p>
      <w:pPr>
        <w:pStyle w:val="Odsazentlatextu"/>
        <w:numPr>
          <w:ilvl w:val="0"/>
          <w:numId w:val="1"/>
        </w:numPr>
        <w:spacing w:lineRule="auto" w:line="264" w:before="0" w:after="60"/>
        <w:rPr/>
      </w:pPr>
      <w:r>
        <w:rPr>
          <w:rFonts w:eastAsia="Times New Roman" w:cs="Arial" w:ascii="Arial" w:hAnsi="Arial"/>
          <w:color w:val="auto"/>
          <w:kern w:val="0"/>
          <w:sz w:val="22"/>
          <w:szCs w:val="22"/>
          <w:lang w:val="cs-CZ" w:eastAsia="cs-CZ" w:bidi="ar-SA"/>
        </w:rPr>
        <w:t xml:space="preserve">Město Potštát </w:t>
      </w:r>
      <w:r>
        <w:rPr>
          <w:rFonts w:cs="Arial" w:ascii="Arial" w:hAnsi="Arial"/>
          <w:sz w:val="22"/>
          <w:szCs w:val="22"/>
        </w:rPr>
        <w:t>touto vyhláškou zavádí místní poplatek za obecní systém odpadového hospodářství (dále jen „poplatek“).</w:t>
      </w:r>
    </w:p>
    <w:p>
      <w:pPr>
        <w:pStyle w:val="Normal"/>
        <w:numPr>
          <w:ilvl w:val="0"/>
          <w:numId w:val="1"/>
        </w:numPr>
        <w:spacing w:lineRule="auto" w:line="288"/>
        <w:jc w:val="both"/>
        <w:rPr/>
      </w:pPr>
      <w:r>
        <w:rPr>
          <w:rFonts w:cs="Arial" w:ascii="Arial" w:hAnsi="Arial"/>
          <w:sz w:val="22"/>
          <w:szCs w:val="22"/>
        </w:rPr>
        <w:t xml:space="preserve">Správcem poplatku je </w:t>
      </w:r>
      <w:r>
        <w:rPr>
          <w:rFonts w:eastAsia="Times New Roman" w:cs="Arial" w:ascii="Arial" w:hAnsi="Arial"/>
          <w:color w:val="auto"/>
          <w:kern w:val="0"/>
          <w:sz w:val="22"/>
          <w:szCs w:val="22"/>
          <w:lang w:val="cs-CZ" w:eastAsia="cs-CZ" w:bidi="ar-SA"/>
        </w:rPr>
        <w:t>Městský úřad Potštát</w:t>
      </w:r>
      <w:r>
        <w:rPr>
          <w:rFonts w:cs="Arial" w:ascii="Arial" w:hAnsi="Arial"/>
          <w:sz w:val="22"/>
          <w:szCs w:val="22"/>
        </w:rPr>
        <w:t>.</w:t>
      </w:r>
      <w:r>
        <w:rPr>
          <w:rStyle w:val="Ukotvenpoznmkypodarou"/>
          <w:rFonts w:cs="Arial" w:ascii="Arial" w:hAnsi="Arial"/>
          <w:sz w:val="22"/>
          <w:szCs w:val="22"/>
          <w:vertAlign w:val="superscript"/>
        </w:rPr>
        <w:footnoteReference w:id="2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2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Poplatník</w:t>
      </w:r>
    </w:p>
    <w:p>
      <w:pPr>
        <w:pStyle w:val="Normal"/>
        <w:numPr>
          <w:ilvl w:val="0"/>
          <w:numId w:val="6"/>
        </w:numPr>
        <w:spacing w:lineRule="auto" w:line="264" w:before="120" w:after="6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Poplatníkem poplatku je</w:t>
      </w:r>
      <w:r>
        <w:rPr>
          <w:rStyle w:val="Ukotvenpoznmkypodarou"/>
          <w:rFonts w:cs="Arial" w:ascii="Arial" w:hAnsi="Arial"/>
          <w:sz w:val="22"/>
          <w:szCs w:val="22"/>
        </w:rPr>
        <w:footnoteReference w:id="3"/>
      </w:r>
      <w:r>
        <w:rPr>
          <w:rFonts w:cs="Arial" w:ascii="Arial" w:hAnsi="Arial"/>
          <w:sz w:val="22"/>
          <w:szCs w:val="22"/>
        </w:rPr>
        <w:t>:</w:t>
      </w:r>
    </w:p>
    <w:p>
      <w:pPr>
        <w:pStyle w:val="Default"/>
        <w:spacing w:before="0"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a) fyzická osoba přihlášená v obci</w:t>
      </w:r>
      <w:r>
        <w:rPr>
          <w:rStyle w:val="Ukotvenpoznmky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>
      <w:pPr>
        <w:pStyle w:val="Default"/>
        <w:ind w:left="567" w:hang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>
      <w:pPr>
        <w:pStyle w:val="Normal"/>
        <w:numPr>
          <w:ilvl w:val="0"/>
          <w:numId w:val="6"/>
        </w:numPr>
        <w:spacing w:lineRule="auto" w:line="264" w:before="120" w:after="6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5"/>
      </w:r>
    </w:p>
    <w:p>
      <w:pPr>
        <w:pStyle w:val="Slalnk"/>
        <w:spacing w:before="480" w:after="60"/>
        <w:ind w:left="4185" w:firstLine="63"/>
        <w:jc w:val="left"/>
        <w:rPr>
          <w:rFonts w:ascii="Arial" w:hAnsi="Arial" w:cs="Arial"/>
        </w:rPr>
      </w:pPr>
      <w:r>
        <w:rPr>
          <w:rFonts w:cs="Arial" w:ascii="Arial" w:hAnsi="Arial"/>
        </w:rPr>
        <w:t>Čl. 3</w:t>
      </w:r>
    </w:p>
    <w:p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cs="Arial" w:ascii="Arial" w:hAnsi="Arial"/>
        </w:rPr>
        <w:t>Poplatkové období</w:t>
      </w:r>
    </w:p>
    <w:p>
      <w:pPr>
        <w:pStyle w:val="Slalnk"/>
        <w:spacing w:before="480" w:after="60"/>
        <w:ind w:firstLine="708"/>
        <w:jc w:val="both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b w:val="false"/>
          <w:bCs w:val="false"/>
          <w:sz w:val="22"/>
          <w:szCs w:val="22"/>
        </w:rPr>
        <w:t>Poplatkovým obdobím poplatku je kalendářní rok.</w:t>
      </w:r>
      <w:r>
        <w:rPr>
          <w:rStyle w:val="Ukotvenpoznmkypodarou"/>
          <w:rFonts w:cs="Arial" w:ascii="Arial" w:hAnsi="Arial"/>
          <w:b w:val="false"/>
          <w:bCs w:val="false"/>
          <w:sz w:val="22"/>
          <w:szCs w:val="22"/>
        </w:rPr>
        <w:footnoteReference w:id="6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4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Ohlašovací povinnost</w:t>
      </w:r>
    </w:p>
    <w:p>
      <w:pPr>
        <w:pStyle w:val="Normal"/>
        <w:numPr>
          <w:ilvl w:val="0"/>
          <w:numId w:val="9"/>
        </w:numPr>
        <w:spacing w:lineRule="auto" w:line="264" w:before="120" w:after="0"/>
        <w:jc w:val="both"/>
        <w:rPr/>
      </w:pPr>
      <w:r>
        <w:rPr>
          <w:rFonts w:cs="Arial" w:ascii="Arial" w:hAnsi="Arial"/>
          <w:sz w:val="22"/>
          <w:szCs w:val="22"/>
        </w:rPr>
        <w:t xml:space="preserve">Poplatník je povinen podat správci poplatku ohlášení nejpozději do </w:t>
      </w:r>
      <w:r>
        <w:rPr>
          <w:rFonts w:eastAsia="Times New Roman" w:cs="Arial" w:ascii="Arial" w:hAnsi="Arial"/>
          <w:color w:val="auto"/>
          <w:kern w:val="0"/>
          <w:sz w:val="22"/>
          <w:szCs w:val="22"/>
          <w:lang w:val="cs-CZ" w:eastAsia="cs-CZ" w:bidi="ar-SA"/>
        </w:rPr>
        <w:t>15-ti</w:t>
      </w:r>
      <w:r>
        <w:rPr>
          <w:rFonts w:cs="Arial" w:ascii="Arial" w:hAnsi="Arial"/>
          <w:sz w:val="22"/>
          <w:szCs w:val="22"/>
        </w:rPr>
        <w:t xml:space="preserve">  dnů ode dne vzniku své poplatkové povinnosti. </w:t>
      </w:r>
    </w:p>
    <w:p>
      <w:pPr>
        <w:pStyle w:val="Normal"/>
        <w:numPr>
          <w:ilvl w:val="0"/>
          <w:numId w:val="9"/>
        </w:numPr>
        <w:spacing w:lineRule="auto" w:line="312" w:before="120" w:after="0"/>
        <w:jc w:val="both"/>
        <w:rPr/>
      </w:pP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ohlášení poplatník uvede</w:t>
      </w:r>
      <w:r>
        <w:rPr>
          <w:rStyle w:val="Ukotvenpoznmkypodarou"/>
          <w:rFonts w:cs="Arial" w:ascii="Arial" w:hAnsi="Arial"/>
          <w:sz w:val="22"/>
          <w:szCs w:val="22"/>
        </w:rPr>
        <w:footnoteReference w:id="7"/>
      </w:r>
      <w:r>
        <w:rPr>
          <w:rFonts w:cs="Arial" w:ascii="Arial" w:hAnsi="Arial"/>
          <w:sz w:val="22"/>
          <w:szCs w:val="22"/>
        </w:rPr>
        <w:t xml:space="preserve"> </w:t>
      </w:r>
    </w:p>
    <w:p>
      <w:pPr>
        <w:pStyle w:val="Normal"/>
        <w:numPr>
          <w:ilvl w:val="1"/>
          <w:numId w:val="9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  <w:br/>
        <w:t>v poplatkových věcech,</w:t>
      </w:r>
    </w:p>
    <w:p>
      <w:pPr>
        <w:pStyle w:val="Normal"/>
        <w:numPr>
          <w:ilvl w:val="1"/>
          <w:numId w:val="9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>
      <w:pPr>
        <w:pStyle w:val="Normal"/>
        <w:numPr>
          <w:ilvl w:val="1"/>
          <w:numId w:val="9"/>
        </w:numPr>
        <w:spacing w:lineRule="auto" w:line="312" w:before="120" w:after="0"/>
        <w:jc w:val="both"/>
        <w:rPr/>
      </w:pPr>
      <w:r>
        <w:rPr>
          <w:rFonts w:cs="Arial" w:ascii="Arial" w:hAnsi="Arial"/>
          <w:sz w:val="22"/>
          <w:szCs w:val="22"/>
        </w:rPr>
        <w:t xml:space="preserve">další údaje rozhodné pro stanovení poplatku, zejména skutečnosti zakládající </w:t>
      </w:r>
      <w:r>
        <w:rPr>
          <w:rFonts w:cs="Arial" w:ascii="Arial" w:hAnsi="Arial"/>
          <w:sz w:val="22"/>
          <w:szCs w:val="22"/>
          <w:highlight w:val="white"/>
        </w:rPr>
        <w:t>nárok na osvobození od poplatku, a jde-li o poplatníka dle čl. 2 odst. 1 písm. b) této vyhlášky, též identifikační úd</w:t>
      </w:r>
      <w:r>
        <w:rPr>
          <w:rFonts w:cs="Arial" w:ascii="Arial" w:hAnsi="Arial"/>
          <w:sz w:val="22"/>
          <w:szCs w:val="22"/>
        </w:rPr>
        <w:t>aje nemovité věci zahrnující byt, rodinný dům nebo stavbu pro rodinnou rekreaci podle katastru nemovitostí.</w:t>
      </w:r>
    </w:p>
    <w:p>
      <w:pPr>
        <w:pStyle w:val="Normal"/>
        <w:numPr>
          <w:ilvl w:val="0"/>
          <w:numId w:val="9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8"/>
      </w:r>
    </w:p>
    <w:p>
      <w:pPr>
        <w:pStyle w:val="Normal"/>
        <w:numPr>
          <w:ilvl w:val="0"/>
          <w:numId w:val="9"/>
        </w:numPr>
        <w:spacing w:lineRule="auto" w:line="264" w:before="120" w:after="0"/>
        <w:jc w:val="both"/>
        <w:rPr/>
      </w:pPr>
      <w:r>
        <w:rPr>
          <w:rFonts w:cs="Arial" w:ascii="Arial" w:hAnsi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9"/>
      </w:r>
    </w:p>
    <w:p>
      <w:pPr>
        <w:pStyle w:val="Normal"/>
        <w:numPr>
          <w:ilvl w:val="0"/>
          <w:numId w:val="9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0"/>
      </w:r>
    </w:p>
    <w:p>
      <w:pPr>
        <w:pStyle w:val="Slalnk"/>
        <w:spacing w:before="480" w:after="60"/>
        <w:rPr>
          <w:rFonts w:ascii="Arial" w:hAnsi="Arial" w:cs="Arial"/>
          <w:i/>
          <w:i/>
        </w:rPr>
      </w:pPr>
      <w:r>
        <w:rPr>
          <w:rFonts w:cs="Arial" w:ascii="Arial" w:hAnsi="Arial"/>
        </w:rPr>
        <w:t>Čl. 5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Sazba poplatku</w:t>
      </w:r>
    </w:p>
    <w:p>
      <w:pPr>
        <w:pStyle w:val="Normal"/>
        <w:numPr>
          <w:ilvl w:val="0"/>
          <w:numId w:val="2"/>
        </w:numPr>
        <w:spacing w:lineRule="auto" w:line="264" w:before="120" w:after="60"/>
        <w:jc w:val="both"/>
        <w:rPr/>
      </w:pPr>
      <w:r>
        <w:rPr>
          <w:rFonts w:cs="Arial" w:ascii="Arial" w:hAnsi="Arial"/>
          <w:sz w:val="22"/>
          <w:szCs w:val="22"/>
        </w:rPr>
        <w:t xml:space="preserve">Sazba poplatku činí </w:t>
      </w:r>
      <w:r>
        <w:rPr>
          <w:rFonts w:eastAsia="Times New Roman" w:cs="Arial" w:ascii="Arial" w:hAnsi="Arial"/>
          <w:color w:val="auto"/>
          <w:kern w:val="0"/>
          <w:sz w:val="22"/>
          <w:szCs w:val="22"/>
          <w:lang w:val="cs-CZ" w:eastAsia="cs-CZ" w:bidi="ar-SA"/>
        </w:rPr>
        <w:t>700</w:t>
      </w:r>
      <w:r>
        <w:rPr>
          <w:rFonts w:cs="Arial" w:ascii="Arial" w:hAnsi="Arial"/>
          <w:sz w:val="22"/>
          <w:szCs w:val="22"/>
        </w:rPr>
        <w:t>,- Kč.</w:t>
      </w:r>
    </w:p>
    <w:p>
      <w:pPr>
        <w:pStyle w:val="Normal"/>
        <w:numPr>
          <w:ilvl w:val="0"/>
          <w:numId w:val="2"/>
        </w:numPr>
        <w:spacing w:lineRule="auto" w:line="264" w:before="120" w:after="60"/>
        <w:jc w:val="both"/>
        <w:rPr/>
      </w:pPr>
      <w:r>
        <w:rPr>
          <w:rFonts w:cs="Arial" w:ascii="Arial" w:hAnsi="Arial"/>
          <w:sz w:val="22"/>
          <w:szCs w:val="22"/>
        </w:rPr>
        <w:t>Poplatek se v případě, že poplatková povinnost vznikla z důvodu přihlášení fyzické osoby v obci, snižuje o jednu dvanáctinu za každý kalendářní měsíc, na jehož konci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1"/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a) není tato fyzická osoba přihlášena v obci, nebo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je tato fyzická osoba od poplatku osvobozena.</w:t>
      </w:r>
    </w:p>
    <w:p>
      <w:pPr>
        <w:pStyle w:val="Normal"/>
        <w:numPr>
          <w:ilvl w:val="0"/>
          <w:numId w:val="2"/>
        </w:numPr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2"/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a) je v této nemovité věci přihlášena alespoň 1 fyzická osoba,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poplatník nevlastní tuto nemovitou věc, nebo</w:t>
      </w:r>
    </w:p>
    <w:p>
      <w:pPr>
        <w:pStyle w:val="Normal"/>
        <w:spacing w:lineRule="auto" w:line="264" w:before="120" w:after="60"/>
        <w:ind w:left="567" w:hanging="0"/>
        <w:jc w:val="both"/>
        <w:rPr/>
      </w:pPr>
      <w:r>
        <w:rPr>
          <w:rFonts w:cs="Arial" w:ascii="Arial" w:hAnsi="Arial"/>
          <w:sz w:val="22"/>
          <w:szCs w:val="22"/>
        </w:rPr>
        <w:t>c) je poplatník od poplatku osvobozen</w:t>
      </w:r>
      <w:r>
        <w:rPr>
          <w:rFonts w:cs="Arial" w:ascii="Arial" w:hAnsi="Arial"/>
          <w:i/>
          <w:color w:val="0070C0"/>
          <w:sz w:val="22"/>
          <w:szCs w:val="22"/>
        </w:rPr>
        <w:t>.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6</w:t>
      </w:r>
    </w:p>
    <w:p>
      <w:pPr>
        <w:pStyle w:val="Nzvylnk"/>
        <w:rPr>
          <w:rFonts w:ascii="Arial" w:hAnsi="Arial" w:cs="Arial"/>
          <w:i/>
          <w:i/>
          <w:color w:val="0070C0"/>
          <w:sz w:val="22"/>
          <w:szCs w:val="22"/>
        </w:rPr>
      </w:pPr>
      <w:r>
        <w:rPr>
          <w:rFonts w:cs="Arial" w:ascii="Arial" w:hAnsi="Arial"/>
        </w:rPr>
        <w:t>Splatnost poplatku</w:t>
      </w:r>
    </w:p>
    <w:p>
      <w:pPr>
        <w:pStyle w:val="Normal"/>
        <w:numPr>
          <w:ilvl w:val="0"/>
          <w:numId w:val="3"/>
        </w:numPr>
        <w:spacing w:lineRule="auto" w:line="264" w:before="120" w:after="0"/>
        <w:jc w:val="both"/>
        <w:rPr/>
      </w:pPr>
      <w:r>
        <w:rPr>
          <w:rFonts w:cs="Arial" w:ascii="Arial" w:hAnsi="Arial"/>
          <w:sz w:val="22"/>
          <w:szCs w:val="22"/>
        </w:rPr>
        <w:t xml:space="preserve">Poplatek je splatný jednorázově, a to nejpozději do </w:t>
      </w:r>
      <w:r>
        <w:rPr>
          <w:rFonts w:eastAsia="Times New Roman" w:cs="Arial" w:ascii="Arial" w:hAnsi="Arial"/>
          <w:color w:val="auto"/>
          <w:kern w:val="0"/>
          <w:sz w:val="22"/>
          <w:szCs w:val="22"/>
          <w:lang w:val="cs-CZ" w:eastAsia="cs-CZ" w:bidi="ar-SA"/>
        </w:rPr>
        <w:t>31.3.</w:t>
      </w:r>
      <w:r>
        <w:rPr>
          <w:rFonts w:cs="Arial" w:ascii="Arial" w:hAnsi="Arial"/>
          <w:sz w:val="22"/>
          <w:szCs w:val="22"/>
        </w:rPr>
        <w:t xml:space="preserve"> příslušného kalendářního roku. </w:t>
      </w:r>
    </w:p>
    <w:p>
      <w:pPr>
        <w:pStyle w:val="Normal"/>
        <w:numPr>
          <w:ilvl w:val="0"/>
          <w:numId w:val="3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Vznikne-li poplatková povinnost po datu splatnosti uvedeném v odstavci 1, je poplatek splatný nejpozději do 15. dne měsíce, který následuje po měsíci, ve kterém poplatková povinnost vznikla. </w:t>
      </w:r>
    </w:p>
    <w:p>
      <w:pPr>
        <w:pStyle w:val="Normal"/>
        <w:numPr>
          <w:ilvl w:val="0"/>
          <w:numId w:val="3"/>
        </w:numPr>
        <w:spacing w:lineRule="auto" w:line="264" w:before="120" w:after="0"/>
        <w:jc w:val="both"/>
        <w:rPr/>
      </w:pPr>
      <w:r>
        <w:rPr>
          <w:rFonts w:cs="Arial" w:ascii="Arial" w:hAnsi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>
      <w:pPr>
        <w:pStyle w:val="Slalnk"/>
        <w:spacing w:before="480" w:after="60"/>
        <w:rPr/>
      </w:pPr>
      <w:r>
        <w:rPr>
          <w:rFonts w:cs="Arial" w:ascii="Arial" w:hAnsi="Arial"/>
        </w:rPr>
        <w:t>Čl. 7</w:t>
      </w:r>
    </w:p>
    <w:p>
      <w:pPr>
        <w:pStyle w:val="Nzvylnk"/>
        <w:rPr/>
      </w:pPr>
      <w:r>
        <w:rPr>
          <w:rFonts w:cs="Arial" w:ascii="Arial" w:hAnsi="Arial"/>
        </w:rPr>
        <w:t>Osvobození</w:t>
      </w:r>
    </w:p>
    <w:p>
      <w:pPr>
        <w:pStyle w:val="Default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Ukotvenpoznmkypodarou"/>
          <w:sz w:val="22"/>
          <w:szCs w:val="22"/>
        </w:rPr>
        <w:footnoteReference w:id="13"/>
      </w:r>
      <w:r>
        <w:rPr>
          <w:sz w:val="22"/>
          <w:szCs w:val="22"/>
        </w:rPr>
        <w:t xml:space="preserve"> </w:t>
      </w:r>
    </w:p>
    <w:p>
      <w:pPr>
        <w:pStyle w:val="Default"/>
        <w:ind w:left="567" w:hanging="0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>
      <w:pPr>
        <w:pStyle w:val="Default"/>
        <w:spacing w:before="0" w:after="53"/>
        <w:ind w:left="567" w:hanging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>
      <w:pPr>
        <w:pStyle w:val="Default"/>
        <w:spacing w:before="0" w:after="53"/>
        <w:ind w:left="567" w:hanging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>
      <w:pPr>
        <w:pStyle w:val="Default"/>
        <w:spacing w:before="0" w:after="53"/>
        <w:ind w:left="567" w:hanging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>
      <w:pPr>
        <w:pStyle w:val="Default"/>
        <w:ind w:left="567" w:hanging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>
      <w:pPr>
        <w:pStyle w:val="Normal"/>
        <w:numPr>
          <w:ilvl w:val="0"/>
          <w:numId w:val="4"/>
        </w:numPr>
        <w:spacing w:lineRule="auto" w:line="264" w:before="120" w:after="0"/>
        <w:jc w:val="both"/>
        <w:rPr/>
      </w:pPr>
      <w:r>
        <w:rPr>
          <w:rFonts w:cs="Arial" w:ascii="Arial" w:hAnsi="Arial"/>
          <w:sz w:val="22"/>
          <w:szCs w:val="22"/>
        </w:rPr>
        <w:t>Od poplatku se osvobozuje osoba, které poplatková povinnost vznikla z důvodu přihlášení v obci</w:t>
      </w:r>
      <w:r>
        <w:rPr>
          <w:rFonts w:cs="Arial" w:ascii="Arial" w:hAnsi="Arial"/>
          <w:sz w:val="22"/>
          <w:szCs w:val="22"/>
          <w:highlight w:val="white"/>
        </w:rPr>
        <w:t xml:space="preserve"> a která: </w:t>
      </w:r>
    </w:p>
    <w:p>
      <w:pPr>
        <w:pStyle w:val="Normal"/>
        <w:numPr>
          <w:ilvl w:val="0"/>
          <w:numId w:val="0"/>
        </w:numPr>
        <w:spacing w:lineRule="auto" w:line="264" w:before="120" w:after="0"/>
        <w:ind w:left="567" w:hanging="0"/>
        <w:jc w:val="both"/>
        <w:rPr>
          <w:highlight w:val="yellow"/>
        </w:rPr>
      </w:pPr>
      <w:r>
        <w:rPr>
          <w:rFonts w:cs="Arial" w:ascii="Arial" w:hAnsi="Arial"/>
          <w:sz w:val="22"/>
          <w:szCs w:val="22"/>
          <w:highlight w:val="white"/>
        </w:rPr>
        <w:t>a) minimálně 6 kalendářních měsíců po sobě jdoucích žije mimo území obce,</w:t>
      </w:r>
    </w:p>
    <w:p>
      <w:pPr>
        <w:pStyle w:val="Normal"/>
        <w:numPr>
          <w:ilvl w:val="0"/>
          <w:numId w:val="0"/>
        </w:numPr>
        <w:spacing w:lineRule="auto" w:line="264" w:before="120" w:after="0"/>
        <w:ind w:left="567" w:hanging="0"/>
        <w:jc w:val="both"/>
        <w:rPr>
          <w:highlight w:val="yellow"/>
        </w:rPr>
      </w:pPr>
      <w:r>
        <w:rPr>
          <w:rFonts w:cs="Arial" w:ascii="Arial" w:hAnsi="Arial"/>
          <w:sz w:val="22"/>
          <w:szCs w:val="22"/>
          <w:highlight w:val="white"/>
        </w:rPr>
        <w:t xml:space="preserve">b) </w:t>
      </w:r>
      <w:r>
        <w:rPr>
          <w:rFonts w:eastAsia="Times New Roman" w:cs="Arial" w:ascii="Arial" w:hAnsi="Arial"/>
          <w:color w:val="auto"/>
          <w:kern w:val="0"/>
          <w:sz w:val="22"/>
          <w:szCs w:val="22"/>
          <w:highlight w:val="white"/>
          <w:lang w:val="cs-CZ" w:eastAsia="cs-CZ" w:bidi="ar-SA"/>
        </w:rPr>
        <w:t>je přihlášena v sídle ohlašovny</w:t>
      </w:r>
      <w:r>
        <w:rPr>
          <w:rFonts w:cs="Arial" w:ascii="Arial" w:hAnsi="Arial"/>
          <w:sz w:val="22"/>
          <w:szCs w:val="22"/>
          <w:highlight w:val="white"/>
        </w:rPr>
        <w:t xml:space="preserve"> na adrese Městského úřadu Potštát a jejichž skutečné místo pobytu není známo.</w:t>
      </w:r>
    </w:p>
    <w:p>
      <w:pPr>
        <w:pStyle w:val="Normal"/>
        <w:tabs>
          <w:tab w:val="clear" w:pos="708"/>
          <w:tab w:val="left" w:pos="3780" w:leader="none"/>
        </w:tabs>
        <w:spacing w:lineRule="auto" w:line="264"/>
        <w:jc w:val="both"/>
        <w:rPr>
          <w:rFonts w:ascii="Arial" w:hAnsi="Arial" w:cs="Arial"/>
          <w:i/>
          <w:i/>
          <w:color w:val="0070C0"/>
          <w:sz w:val="20"/>
          <w:szCs w:val="20"/>
        </w:rPr>
      </w:pPr>
      <w:r>
        <w:rPr>
          <w:rFonts w:cs="Arial" w:ascii="Arial" w:hAnsi="Arial"/>
          <w:i/>
          <w:color w:val="0070C0"/>
          <w:sz w:val="20"/>
          <w:szCs w:val="20"/>
        </w:rPr>
      </w:r>
    </w:p>
    <w:p>
      <w:pPr>
        <w:pStyle w:val="Normal"/>
        <w:spacing w:lineRule="auto" w:line="264" w:before="120" w:after="0"/>
        <w:ind w:left="567" w:hanging="567"/>
        <w:jc w:val="both"/>
        <w:rPr/>
      </w:pP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(3)</w:t>
        <w:tab/>
        <w:t>V případě, že poplatník nesplní povinnost ohlásit údaj rozhodný pro osvobození ve lhůtách stanovených touto vyhláškou nebo zákonem, nárok na osvobození zaniká.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4"/>
      </w:r>
    </w:p>
    <w:p>
      <w:pPr>
        <w:pStyle w:val="Normal"/>
        <w:tabs>
          <w:tab w:val="clear" w:pos="708"/>
          <w:tab w:val="left" w:pos="3780" w:leader="none"/>
        </w:tabs>
        <w:spacing w:lineRule="auto" w:line="264"/>
        <w:ind w:left="567" w:hanging="0"/>
        <w:jc w:val="both"/>
        <w:rPr>
          <w:rFonts w:ascii="Arial" w:hAnsi="Arial" w:cs="Arial"/>
          <w:i/>
          <w:i/>
          <w:color w:val="0070C0"/>
          <w:sz w:val="20"/>
          <w:szCs w:val="20"/>
          <w:u w:val="single"/>
        </w:rPr>
      </w:pPr>
      <w:r>
        <w:rPr>
          <w:rFonts w:cs="Arial" w:ascii="Arial" w:hAnsi="Arial"/>
          <w:i/>
          <w:color w:val="0070C0"/>
          <w:sz w:val="20"/>
          <w:szCs w:val="20"/>
          <w:u w:val="single"/>
        </w:rPr>
      </w:r>
    </w:p>
    <w:p>
      <w:pPr>
        <w:pStyle w:val="Normal"/>
        <w:tabs>
          <w:tab w:val="clear" w:pos="708"/>
          <w:tab w:val="left" w:pos="3780" w:leader="none"/>
        </w:tabs>
        <w:ind w:hanging="0"/>
        <w:jc w:val="both"/>
        <w:rPr>
          <w:rFonts w:ascii="Arial" w:hAnsi="Arial" w:cs="Arial"/>
          <w:i/>
          <w:i/>
          <w:color w:val="0070C0"/>
          <w:sz w:val="20"/>
          <w:szCs w:val="20"/>
        </w:rPr>
      </w:pPr>
      <w:r>
        <w:rPr>
          <w:rFonts w:cs="Arial" w:ascii="Arial" w:hAnsi="Arial"/>
          <w:i/>
          <w:color w:val="0070C0"/>
          <w:sz w:val="20"/>
          <w:szCs w:val="20"/>
        </w:rPr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8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Navýšení poplatku</w:t>
      </w:r>
      <w:r>
        <w:rPr/>
        <w:t xml:space="preserve"> </w:t>
      </w:r>
    </w:p>
    <w:p>
      <w:pPr>
        <w:pStyle w:val="Normal"/>
        <w:numPr>
          <w:ilvl w:val="0"/>
          <w:numId w:val="5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5"/>
      </w:r>
    </w:p>
    <w:p>
      <w:pPr>
        <w:pStyle w:val="Normal"/>
        <w:numPr>
          <w:ilvl w:val="0"/>
          <w:numId w:val="5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6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9</w:t>
      </w:r>
    </w:p>
    <w:p>
      <w:pPr>
        <w:pStyle w:val="Slalnk"/>
        <w:spacing w:before="60" w:after="160"/>
        <w:rPr>
          <w:rFonts w:ascii="Arial" w:hAnsi="Arial" w:cs="Arial"/>
        </w:rPr>
      </w:pPr>
      <w:r>
        <w:rPr>
          <w:rFonts w:cs="Arial" w:ascii="Arial" w:hAnsi="Arial"/>
        </w:rPr>
        <w:t>Odpovědnost za zaplacení poplatku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7"/>
      </w:r>
    </w:p>
    <w:p>
      <w:pPr>
        <w:pStyle w:val="Normal"/>
        <w:numPr>
          <w:ilvl w:val="0"/>
          <w:numId w:val="7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Vznikne-li nedoplatek na poplatku poplatníkovi, který je ke dni splatnosti nezletilý </w:t>
        <w:br/>
        <w:t xml:space="preserve">a nenabyl plné svéprávnosti nebo který je ke dni splatnosti omezen ve svéprávnosti </w:t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>
      <w:pPr>
        <w:pStyle w:val="Normal"/>
        <w:numPr>
          <w:ilvl w:val="0"/>
          <w:numId w:val="7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 případě podle odstavce 1 vyměří správce poplatku poplatek zákonnému zástupci nebo opatrovníkovi poplatníka.</w:t>
      </w:r>
    </w:p>
    <w:p>
      <w:pPr>
        <w:pStyle w:val="Normal"/>
        <w:numPr>
          <w:ilvl w:val="0"/>
          <w:numId w:val="7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Je-li zákonných zástupců nebo opatrovníků více, jsou povinni plnit poplatkovou povinnost společně a nerozdílně.</w:t>
      </w:r>
    </w:p>
    <w:p>
      <w:pPr>
        <w:pStyle w:val="Slalnk"/>
        <w:spacing w:before="480" w:after="60"/>
        <w:ind w:left="3540" w:firstLine="708"/>
        <w:jc w:val="left"/>
        <w:rPr>
          <w:rFonts w:ascii="Arial" w:hAnsi="Arial" w:cs="Arial"/>
        </w:rPr>
      </w:pPr>
      <w:r>
        <w:rPr>
          <w:rFonts w:cs="Arial" w:ascii="Arial" w:hAnsi="Arial"/>
        </w:rPr>
        <w:t>Čl. 10</w:t>
      </w:r>
    </w:p>
    <w:p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cs="Arial" w:ascii="Arial" w:hAnsi="Arial"/>
        </w:rPr>
        <w:t>Společná ustanovení</w:t>
      </w:r>
    </w:p>
    <w:p>
      <w:pPr>
        <w:pStyle w:val="Normal"/>
        <w:numPr>
          <w:ilvl w:val="0"/>
          <w:numId w:val="8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8"/>
      </w:r>
    </w:p>
    <w:p>
      <w:pPr>
        <w:pStyle w:val="Normal"/>
        <w:numPr>
          <w:ilvl w:val="0"/>
          <w:numId w:val="8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9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11</w:t>
      </w:r>
    </w:p>
    <w:p>
      <w:pPr>
        <w:pStyle w:val="Nzvylnk"/>
        <w:rPr/>
      </w:pPr>
      <w:r>
        <w:rPr>
          <w:rFonts w:cs="Arial" w:ascii="Arial" w:hAnsi="Arial"/>
        </w:rPr>
        <w:t>Přechodná ustanovení</w:t>
      </w:r>
    </w:p>
    <w:p>
      <w:pPr>
        <w:pStyle w:val="Normal"/>
        <w:numPr>
          <w:ilvl w:val="0"/>
          <w:numId w:val="0"/>
        </w:numPr>
        <w:spacing w:lineRule="auto" w:line="264" w:before="120" w:after="0"/>
        <w:ind w:left="567" w:hanging="0"/>
        <w:jc w:val="both"/>
        <w:rPr/>
      </w:pPr>
      <w:bookmarkStart w:id="0" w:name="_Hlk54596575"/>
      <w:bookmarkEnd w:id="0"/>
      <w:r>
        <w:rPr>
          <w:rFonts w:cs="Arial" w:ascii="Arial" w:hAnsi="Arial"/>
          <w:sz w:val="22"/>
          <w:szCs w:val="22"/>
        </w:rPr>
        <w:t>Poplatkové povinnosti vzniklé před nabytím účinnosti této vyhlášky se posuzují podle dosavadních právních předpisů.</w:t>
      </w:r>
    </w:p>
    <w:p>
      <w:pPr>
        <w:pStyle w:val="Normal"/>
        <w:tabs>
          <w:tab w:val="clear" w:pos="708"/>
          <w:tab w:val="left" w:pos="3780" w:leader="none"/>
        </w:tabs>
        <w:jc w:val="both"/>
        <w:rPr>
          <w:rFonts w:ascii="Arial" w:hAnsi="Arial" w:cs="Arial"/>
          <w:i/>
          <w:i/>
          <w:color w:val="0070C0"/>
          <w:sz w:val="20"/>
          <w:szCs w:val="20"/>
        </w:rPr>
      </w:pPr>
      <w:r>
        <w:rPr>
          <w:rFonts w:cs="Arial" w:ascii="Arial" w:hAnsi="Arial"/>
          <w:i/>
          <w:color w:val="0070C0"/>
          <w:sz w:val="20"/>
          <w:szCs w:val="20"/>
        </w:rPr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12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Zrušovací ustanovení</w:t>
      </w:r>
    </w:p>
    <w:p>
      <w:pPr>
        <w:pStyle w:val="Normal"/>
        <w:spacing w:lineRule="auto" w:line="288" w:before="120" w:after="0"/>
        <w:ind w:left="567" w:hanging="0"/>
        <w:jc w:val="both"/>
        <w:rPr/>
      </w:pPr>
      <w:bookmarkStart w:id="1" w:name="_Hlk54595723"/>
      <w:r>
        <w:rPr>
          <w:rFonts w:cs="Arial" w:ascii="Arial" w:hAnsi="Arial"/>
          <w:sz w:val="22"/>
          <w:szCs w:val="22"/>
        </w:rPr>
        <w:t xml:space="preserve">Zrušuje se </w:t>
      </w:r>
      <w:bookmarkEnd w:id="1"/>
      <w:r>
        <w:rPr>
          <w:rFonts w:cs="Arial" w:ascii="Arial" w:hAnsi="Arial"/>
          <w:b w:val="false"/>
          <w:bCs w:val="false"/>
          <w:sz w:val="22"/>
          <w:szCs w:val="22"/>
        </w:rPr>
        <w:t xml:space="preserve">Obecně závazná vyhláška </w:t>
      </w:r>
      <w:r>
        <w:rPr>
          <w:rFonts w:eastAsia="Times New Roman" w:cs="Arial" w:ascii="Arial" w:hAnsi="Arial"/>
          <w:b w:val="false"/>
          <w:bCs w:val="false"/>
          <w:color w:val="auto"/>
          <w:kern w:val="0"/>
          <w:sz w:val="24"/>
          <w:szCs w:val="24"/>
          <w:lang w:val="cs-CZ" w:eastAsia="cs-CZ" w:bidi="ar-SA"/>
        </w:rPr>
        <w:t xml:space="preserve">města </w:t>
      </w:r>
      <w:r>
        <w:rPr>
          <w:rFonts w:cs="Arial" w:ascii="Arial" w:hAnsi="Arial"/>
          <w:b w:val="false"/>
          <w:bCs w:val="false"/>
          <w:sz w:val="22"/>
          <w:szCs w:val="22"/>
        </w:rPr>
        <w:t>č. 3/2021,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000000"/>
          <w:kern w:val="0"/>
          <w:sz w:val="22"/>
          <w:szCs w:val="22"/>
          <w:lang w:val="cs-CZ" w:eastAsia="cs-CZ" w:bidi="ar-SA"/>
        </w:rPr>
        <w:t>o místním poplatku za obecní systém odpadového hospodářství</w:t>
      </w:r>
      <w:r>
        <w:rPr>
          <w:rFonts w:eastAsia="Times New Roman" w:cs="Arial" w:ascii="Arial" w:hAnsi="Arial"/>
          <w:i w:val="false"/>
          <w:iCs w:val="false"/>
          <w:color w:val="000000"/>
          <w:kern w:val="0"/>
          <w:sz w:val="22"/>
          <w:szCs w:val="22"/>
          <w:lang w:val="cs-CZ" w:eastAsia="cs-CZ" w:bidi="ar-SA"/>
        </w:rPr>
        <w:t>,</w:t>
      </w:r>
      <w:r>
        <w:rPr>
          <w:rFonts w:cs="Arial" w:ascii="Arial" w:hAnsi="Arial"/>
          <w:i w:val="false"/>
          <w:iCs w:val="false"/>
          <w:color w:val="000000"/>
          <w:sz w:val="22"/>
          <w:szCs w:val="22"/>
        </w:rPr>
        <w:t xml:space="preserve"> ze dne </w:t>
      </w:r>
      <w:r>
        <w:rPr>
          <w:rFonts w:eastAsia="Times New Roman" w:cs="Arial" w:ascii="Arial" w:hAnsi="Arial"/>
          <w:i w:val="false"/>
          <w:iCs w:val="false"/>
          <w:color w:val="000000"/>
          <w:kern w:val="0"/>
          <w:sz w:val="22"/>
          <w:szCs w:val="22"/>
          <w:lang w:val="cs-CZ" w:eastAsia="cs-CZ" w:bidi="ar-SA"/>
        </w:rPr>
        <w:t>07.12.2021.</w:t>
      </w:r>
    </w:p>
    <w:p>
      <w:pPr>
        <w:pStyle w:val="Normal"/>
        <w:spacing w:lineRule="auto" w:line="264" w:before="120" w:after="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13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Účinnost</w:t>
      </w:r>
    </w:p>
    <w:p>
      <w:pPr>
        <w:pStyle w:val="Normal"/>
        <w:spacing w:lineRule="auto" w:line="288" w:before="120" w:after="0"/>
        <w:ind w:firstLine="708"/>
        <w:jc w:val="both"/>
        <w:rPr>
          <w:rFonts w:ascii="Arial" w:hAnsi="Arial" w:cs="Arial"/>
          <w:b w:val="false"/>
          <w:b w:val="false"/>
          <w:bCs w:val="false"/>
          <w:i/>
          <w:i/>
          <w:color w:val="0070C0"/>
          <w:sz w:val="22"/>
          <w:szCs w:val="24"/>
        </w:rPr>
      </w:pPr>
      <w:r>
        <w:rPr>
          <w:rFonts w:cs="Arial" w:ascii="Arial" w:hAnsi="Arial"/>
          <w:b w:val="false"/>
          <w:bCs w:val="false"/>
          <w:i/>
          <w:color w:val="0070C0"/>
          <w:sz w:val="22"/>
          <w:szCs w:val="24"/>
        </w:rPr>
      </w:r>
    </w:p>
    <w:p>
      <w:pPr>
        <w:pStyle w:val="Normal"/>
        <w:spacing w:lineRule="auto" w:line="288" w:before="120" w:after="0"/>
        <w:ind w:firstLine="708"/>
        <w:jc w:val="both"/>
        <w:rPr/>
      </w:pPr>
      <w:r>
        <w:rPr>
          <w:rFonts w:cs="Arial" w:ascii="Arial" w:hAnsi="Arial"/>
          <w:sz w:val="22"/>
          <w:szCs w:val="22"/>
        </w:rPr>
        <w:t xml:space="preserve">Tato vyhláška nabývá účinnosti dnem </w:t>
      </w:r>
      <w:r>
        <w:rPr>
          <w:rFonts w:eastAsia="Times New Roman" w:cs="Arial" w:ascii="Arial" w:hAnsi="Arial"/>
          <w:color w:val="auto"/>
          <w:kern w:val="0"/>
          <w:sz w:val="22"/>
          <w:szCs w:val="22"/>
          <w:lang w:val="cs-CZ" w:eastAsia="cs-CZ" w:bidi="ar-SA"/>
        </w:rPr>
        <w:t>01.01.2023</w:t>
      </w:r>
      <w:r>
        <w:rPr>
          <w:rFonts w:cs="Arial" w:ascii="Arial" w:hAnsi="Arial"/>
          <w:sz w:val="22"/>
          <w:szCs w:val="22"/>
        </w:rPr>
        <w:t xml:space="preserve">. </w:t>
      </w:r>
    </w:p>
    <w:p>
      <w:pPr>
        <w:pStyle w:val="Nzvylnk"/>
        <w:jc w:val="left"/>
        <w:rPr>
          <w:rFonts w:ascii="Arial" w:hAnsi="Arial" w:cs="Arial"/>
          <w:b w:val="false"/>
          <w:b w:val="false"/>
          <w:bCs w:val="false"/>
          <w:i/>
          <w:i/>
          <w:color w:val="1A4BD6"/>
          <w:szCs w:val="24"/>
        </w:rPr>
      </w:pPr>
      <w:r>
        <w:rPr>
          <w:rFonts w:cs="Arial" w:ascii="Arial" w:hAnsi="Arial"/>
          <w:b w:val="false"/>
          <w:bCs w:val="false"/>
          <w:i/>
          <w:color w:val="1A4BD6"/>
          <w:szCs w:val="24"/>
        </w:rPr>
      </w:r>
    </w:p>
    <w:p>
      <w:pPr>
        <w:pStyle w:val="Nzvylnk"/>
        <w:jc w:val="left"/>
        <w:rPr>
          <w:rFonts w:ascii="Arial" w:hAnsi="Arial" w:cs="Arial"/>
          <w:b w:val="false"/>
          <w:b w:val="false"/>
          <w:bCs w:val="false"/>
          <w:i/>
          <w:i/>
          <w:color w:val="0070C0"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color w:val="0070C0"/>
          <w:sz w:val="22"/>
          <w:szCs w:val="22"/>
        </w:rPr>
      </w:r>
    </w:p>
    <w:p>
      <w:pPr>
        <w:pStyle w:val="Nzvylnk"/>
        <w:jc w:val="left"/>
        <w:rPr>
          <w:rFonts w:ascii="Arial" w:hAnsi="Arial" w:cs="Arial"/>
          <w:i/>
          <w:i/>
          <w:color w:val="0070C0"/>
          <w:sz w:val="22"/>
          <w:szCs w:val="22"/>
        </w:rPr>
      </w:pPr>
      <w:r>
        <w:rPr>
          <w:rFonts w:cs="Arial" w:ascii="Arial" w:hAnsi="Arial"/>
          <w:i/>
          <w:color w:val="0070C0"/>
          <w:sz w:val="22"/>
          <w:szCs w:val="22"/>
        </w:rPr>
      </w:r>
    </w:p>
    <w:p>
      <w:pPr>
        <w:pStyle w:val="Normal"/>
        <w:spacing w:lineRule="auto" w:line="264" w:before="120" w:after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440" w:leader="none"/>
          <w:tab w:val="left" w:pos="7020" w:leader="none"/>
        </w:tabs>
        <w:spacing w:lineRule="auto" w:line="264" w:before="0" w:after="0"/>
        <w:rPr/>
      </w:pPr>
      <w:r>
        <w:rPr>
          <w:rFonts w:cs="Arial" w:ascii="Arial" w:hAnsi="Arial"/>
          <w:i/>
          <w:sz w:val="22"/>
          <w:szCs w:val="22"/>
        </w:rPr>
        <w:tab/>
        <w:t>Podpis</w:t>
        <w:tab/>
        <w:t xml:space="preserve">Podpis   </w:t>
      </w:r>
    </w:p>
    <w:p>
      <w:pPr>
        <w:pStyle w:val="Tlotextu"/>
        <w:tabs>
          <w:tab w:val="clear" w:pos="708"/>
          <w:tab w:val="left" w:pos="1440" w:leader="none"/>
          <w:tab w:val="left" w:pos="7020" w:leader="none"/>
        </w:tabs>
        <w:spacing w:lineRule="auto" w:line="264" w:before="0" w:after="0"/>
        <w:rPr/>
      </w:pPr>
      <w:r>
        <w:rPr>
          <w:rFonts w:cs="Arial" w:ascii="Arial" w:hAnsi="Arial"/>
          <w:i/>
          <w:sz w:val="22"/>
          <w:szCs w:val="22"/>
        </w:rPr>
        <w:t xml:space="preserve">      ………………………………                                                  ……………………………</w:t>
      </w:r>
      <w:r>
        <w:rPr>
          <w:rFonts w:cs="Arial" w:ascii="Arial" w:hAnsi="Arial"/>
          <w:i/>
          <w:sz w:val="22"/>
          <w:szCs w:val="22"/>
        </w:rPr>
        <w:t>...</w:t>
      </w:r>
    </w:p>
    <w:p>
      <w:pPr>
        <w:pStyle w:val="Tlotextu"/>
        <w:tabs>
          <w:tab w:val="clear" w:pos="708"/>
          <w:tab w:val="left" w:pos="1080" w:leader="none"/>
          <w:tab w:val="left" w:pos="6660" w:leader="none"/>
        </w:tabs>
        <w:spacing w:lineRule="auto" w:line="264" w:before="0" w:after="0"/>
        <w:rPr/>
      </w:pPr>
      <w:r>
        <w:rPr>
          <w:rFonts w:eastAsia="Times New Roman" w:cs="Arial" w:ascii="Arial" w:hAnsi="Arial"/>
          <w:color w:val="auto"/>
          <w:kern w:val="0"/>
          <w:sz w:val="22"/>
          <w:szCs w:val="22"/>
          <w:lang w:val="cs-CZ" w:eastAsia="cs-CZ" w:bidi="ar-SA"/>
        </w:rPr>
        <w:t xml:space="preserve">       </w:t>
      </w:r>
      <w:r>
        <w:rPr>
          <w:rFonts w:eastAsia="Times New Roman" w:cs="Arial" w:ascii="Arial" w:hAnsi="Arial"/>
          <w:color w:val="auto"/>
          <w:kern w:val="0"/>
          <w:sz w:val="22"/>
          <w:szCs w:val="22"/>
          <w:lang w:val="cs-CZ" w:eastAsia="cs-CZ" w:bidi="ar-SA"/>
        </w:rPr>
        <w:t>Kateřina Klabačková, DiS.</w:t>
      </w:r>
      <w:r>
        <w:rPr>
          <w:rFonts w:cs="Arial" w:ascii="Arial" w:hAnsi="Arial"/>
          <w:sz w:val="22"/>
          <w:szCs w:val="22"/>
        </w:rPr>
        <w:t xml:space="preserve"> </w:t>
        <w:tab/>
        <w:t>René Passinger</w:t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64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>místostarosta</w:t>
        <w:tab/>
        <w:t>starosta</w:t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64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64"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64"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64"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64"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64" w:before="120" w:after="0"/>
        <w:rPr/>
      </w:pPr>
      <w:r>
        <w:rPr/>
      </w:r>
    </w:p>
    <w:sectPr>
      <w:footerReference w:type="default" r:id="rId2"/>
      <w:footnotePr>
        <w:numFmt w:val="decimal"/>
      </w:footnotePr>
      <w:type w:val="nextPage"/>
      <w:pgSz w:w="11906" w:h="16838"/>
      <w:pgMar w:left="1417" w:right="1417" w:header="0" w:top="993" w:footer="708" w:bottom="993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Calibri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pat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Zpat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Style w:val="FootnoteCharacters"/>
        </w:rPr>
        <w:t xml:space="preserve"> </w:t>
      </w:r>
      <w:r>
        <w:rPr>
          <w:rFonts w:cs="Arial" w:ascii="Arial" w:hAnsi="Arial"/>
          <w:sz w:val="18"/>
          <w:szCs w:val="18"/>
        </w:rPr>
        <w:t>§ 15 odst. 1 zákona, o místních poplatcích</w:t>
      </w:r>
    </w:p>
  </w:footnote>
  <w:footnote w:id="3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Style w:val="FootnoteCharacters"/>
        </w:rPr>
        <w:t xml:space="preserve"> </w:t>
      </w:r>
      <w:r>
        <w:rPr>
          <w:rStyle w:val="FootnoteCharacters"/>
          <w:position w:val="0"/>
          <w:sz w:val="20"/>
          <w:sz w:val="20"/>
          <w:vertAlign w:val="baseline"/>
        </w:rPr>
        <w:t>§</w:t>
      </w:r>
      <w:r>
        <w:rPr>
          <w:rFonts w:cs="Arial" w:ascii="Arial" w:hAnsi="Arial"/>
          <w:sz w:val="18"/>
          <w:szCs w:val="18"/>
        </w:rPr>
        <w:t xml:space="preserve"> 10e zákona o místních poplatcích</w:t>
      </w:r>
    </w:p>
  </w:footnote>
  <w:footnote w:id="4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</w:rPr>
        <w:t xml:space="preserve"> </w:t>
      </w:r>
      <w:r>
        <w:rPr>
          <w:rFonts w:cs="Arial" w:ascii="Arial" w:hAnsi="Arial"/>
          <w:sz w:val="18"/>
          <w:szCs w:val="18"/>
        </w:rPr>
        <w:t xml:space="preserve">Za přihlášení fyzické osoby se podle § 16c zákona o místních poplatcích považuje 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a) přihlášení k trvalému pobytu podle zákona o evidenci obyvatel, nebo  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1. kterému byl povolen trvalý pobyt,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2. který na území České republiky pobývá přechodně po dobu delší než 3 měsíce,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>
      <w:pPr>
        <w:pStyle w:val="Poznmkapodarou"/>
        <w:rPr/>
      </w:pPr>
      <w:r>
        <w:rPr>
          <w:rFonts w:cs="Arial" w:ascii="Arial" w:hAnsi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Style w:val="FootnoteCharacters"/>
          <w:position w:val="0"/>
          <w:sz w:val="20"/>
          <w:sz w:val="20"/>
          <w:vertAlign w:val="baseline"/>
        </w:rPr>
        <w:t>§</w:t>
      </w:r>
      <w:r>
        <w:rPr>
          <w:rFonts w:cs="Arial" w:ascii="Arial" w:hAnsi="Arial"/>
          <w:sz w:val="18"/>
          <w:szCs w:val="18"/>
        </w:rPr>
        <w:t xml:space="preserve"> 10p zákona o místních poplatcích</w:t>
      </w:r>
    </w:p>
  </w:footnote>
  <w:footnote w:id="6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10o odst. 1 zákona o místních poplatcích</w:t>
      </w:r>
    </w:p>
  </w:footnote>
  <w:footnote w:id="7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2 zákona o místních poplatcích</w:t>
      </w:r>
    </w:p>
  </w:footnote>
  <w:footnote w:id="8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3 zákona o místních poplatcích</w:t>
      </w:r>
    </w:p>
  </w:footnote>
  <w:footnote w:id="9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4 zákona o místních poplatcích</w:t>
      </w:r>
    </w:p>
  </w:footnote>
  <w:footnote w:id="10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14a odst. 5 zákona o místních poplatcích</w:t>
      </w:r>
    </w:p>
  </w:footnote>
  <w:footnote w:id="11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 </w:t>
      </w:r>
      <w:r>
        <w:rPr>
          <w:rFonts w:cs="Arial" w:ascii="Arial" w:hAnsi="Arial"/>
          <w:sz w:val="18"/>
          <w:szCs w:val="18"/>
        </w:rPr>
        <w:t>§ 10h odst. 2 ve spojení s § 10o odst. 2 zákona o místních poplatcích</w:t>
      </w:r>
    </w:p>
  </w:footnote>
  <w:footnote w:id="12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/>
        <w:t xml:space="preserve">§ </w:t>
      </w:r>
      <w:r>
        <w:rPr>
          <w:rFonts w:cs="Arial" w:ascii="Arial" w:hAnsi="Arial"/>
          <w:sz w:val="18"/>
          <w:szCs w:val="18"/>
        </w:rPr>
        <w:t>10h odst. 3 ve spojení s § 10o odst. 2 zákona o místních poplatcích</w:t>
      </w:r>
    </w:p>
  </w:footnote>
  <w:footnote w:id="13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10g zákona o místních poplatcích</w:t>
      </w:r>
    </w:p>
  </w:footnote>
  <w:footnote w:id="14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6 zákona o místních poplatcích</w:t>
      </w:r>
    </w:p>
  </w:footnote>
  <w:footnote w:id="15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11 odst. 1 zákona o místních poplatcích</w:t>
      </w:r>
    </w:p>
  </w:footnote>
  <w:footnote w:id="16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11 odst. 3 zákona o místních poplatcích</w:t>
      </w:r>
    </w:p>
  </w:footnote>
  <w:footnote w:id="17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12 zákona o místních poplatcích</w:t>
      </w:r>
    </w:p>
  </w:footnote>
  <w:footnote w:id="18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10q zákona o místních poplatcích</w:t>
      </w:r>
    </w:p>
  </w:footnote>
  <w:footnote w:id="19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10r zákona o 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b w:val="false"/>
        <w:rFonts w:ascii="Arial" w:hAnsi="Arial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b w:val="false"/>
        <w:rFonts w:ascii="Arial" w:hAnsi="Arial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b w:val="false"/>
        <w:rFonts w:ascii="Arial" w:hAnsi="Arial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decimal"/>
      <w:lvlText w:val="(%1)"/>
      <w:lvlJc w:val="left"/>
      <w:pPr>
        <w:ind w:left="1353" w:hanging="360"/>
      </w:pPr>
    </w:lvl>
    <w:lvl w:ilvl="1">
      <w:start w:val="1"/>
      <w:numFmt w:val="lowerLetter"/>
      <w:lvlText w:val="%2)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b w:val="false"/>
        <w:rFonts w:ascii="Arial" w:hAnsi="Arial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b w:val="false"/>
        <w:rFonts w:ascii="Arial" w:hAnsi="Arial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b w:val="false"/>
        <w:rFonts w:ascii="Arial" w:hAnsi="Arial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defaultTabStop w:val="708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/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31160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2">
    <w:name w:val="Heading 2"/>
    <w:basedOn w:val="Normal"/>
    <w:next w:val="Normal"/>
    <w:link w:val="Nadpis2Char"/>
    <w:qFormat/>
    <w:rsid w:val="00131160"/>
    <w:pPr>
      <w:keepNext w:val="true"/>
      <w:jc w:val="both"/>
      <w:outlineLvl w:val="1"/>
    </w:pPr>
    <w:rPr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2Char" w:customStyle="1">
    <w:name w:val="Nadpis 2 Char"/>
    <w:link w:val="Nadpis2"/>
    <w:semiHidden/>
    <w:qFormat/>
    <w:rsid w:val="00131160"/>
    <w:rPr>
      <w:sz w:val="24"/>
      <w:szCs w:val="24"/>
      <w:u w:val="single"/>
      <w:lang w:val="cs-CZ" w:eastAsia="cs-CZ" w:bidi="ar-SA"/>
    </w:rPr>
  </w:style>
  <w:style w:type="character" w:styleId="ZkladntextodsazenChar" w:customStyle="1">
    <w:name w:val="Základní text odsazený Char"/>
    <w:link w:val="Zkladntextodsazen"/>
    <w:semiHidden/>
    <w:qFormat/>
    <w:rsid w:val="00131160"/>
    <w:rPr>
      <w:sz w:val="24"/>
      <w:szCs w:val="24"/>
      <w:lang w:val="cs-CZ" w:eastAsia="cs-CZ" w:bidi="ar-SA"/>
    </w:rPr>
  </w:style>
  <w:style w:type="character" w:styleId="ZhlavChar" w:customStyle="1">
    <w:name w:val="Záhlaví Char"/>
    <w:link w:val="Zhlav"/>
    <w:semiHidden/>
    <w:qFormat/>
    <w:rsid w:val="00131160"/>
    <w:rPr>
      <w:sz w:val="24"/>
      <w:szCs w:val="24"/>
      <w:lang w:val="cs-CZ" w:eastAsia="cs-CZ" w:bidi="ar-SA"/>
    </w:rPr>
  </w:style>
  <w:style w:type="character" w:styleId="ZkladntextChar" w:customStyle="1">
    <w:name w:val="Základní text Char"/>
    <w:link w:val="Zkladntext"/>
    <w:semiHidden/>
    <w:qFormat/>
    <w:rsid w:val="00131160"/>
    <w:rPr>
      <w:sz w:val="24"/>
      <w:szCs w:val="24"/>
      <w:lang w:val="cs-CZ" w:eastAsia="cs-CZ" w:bidi="ar-SA"/>
    </w:rPr>
  </w:style>
  <w:style w:type="character" w:styleId="TextpoznpodarouChar" w:customStyle="1">
    <w:name w:val="Text pozn. pod čarou Char"/>
    <w:link w:val="Textpoznpodarou"/>
    <w:semiHidden/>
    <w:qFormat/>
    <w:rsid w:val="00131160"/>
    <w:rPr>
      <w:lang w:val="cs-CZ" w:eastAsia="cs-CZ" w:bidi="ar-SA"/>
    </w:rPr>
  </w:style>
  <w:style w:type="character" w:styleId="Ukotvenpoznmkypodarou">
    <w:name w:val="Ukotvení poznámky pod čarou"/>
    <w:rPr>
      <w:vertAlign w:val="superscript"/>
    </w:rPr>
  </w:style>
  <w:style w:type="character" w:styleId="FootnoteCharacters">
    <w:name w:val="Footnote Characters"/>
    <w:semiHidden/>
    <w:qFormat/>
    <w:rsid w:val="00131160"/>
    <w:rPr>
      <w:vertAlign w:val="superscript"/>
    </w:rPr>
  </w:style>
  <w:style w:type="character" w:styleId="ZpatChar" w:customStyle="1">
    <w:name w:val="Zápatí Char"/>
    <w:link w:val="Zpat"/>
    <w:uiPriority w:val="99"/>
    <w:qFormat/>
    <w:rsid w:val="00b10e4f"/>
    <w:rPr>
      <w:sz w:val="24"/>
      <w:szCs w:val="24"/>
    </w:rPr>
  </w:style>
  <w:style w:type="character" w:styleId="Annotationreference">
    <w:name w:val="annotation reference"/>
    <w:qFormat/>
    <w:rsid w:val="00c119a6"/>
    <w:rPr>
      <w:sz w:val="16"/>
      <w:szCs w:val="16"/>
    </w:rPr>
  </w:style>
  <w:style w:type="character" w:styleId="TextkomenteChar" w:customStyle="1">
    <w:name w:val="Text komentáře Char"/>
    <w:basedOn w:val="DefaultParagraphFont"/>
    <w:link w:val="Textkomente"/>
    <w:qFormat/>
    <w:rsid w:val="00c119a6"/>
    <w:rPr/>
  </w:style>
  <w:style w:type="character" w:styleId="PedmtkomenteChar" w:customStyle="1">
    <w:name w:val="Předmět komentáře Char"/>
    <w:link w:val="Pedmtkomente"/>
    <w:qFormat/>
    <w:rsid w:val="00c119a6"/>
    <w:rPr>
      <w:b/>
      <w:bCs/>
    </w:rPr>
  </w:style>
  <w:style w:type="character" w:styleId="TextbublinyChar" w:customStyle="1">
    <w:name w:val="Text bubliny Char"/>
    <w:link w:val="Textbubliny"/>
    <w:qFormat/>
    <w:rsid w:val="00c119a6"/>
    <w:rPr>
      <w:rFonts w:ascii="Segoe UI" w:hAnsi="Segoe UI" w:cs="Segoe UI"/>
      <w:sz w:val="18"/>
      <w:szCs w:val="18"/>
    </w:rPr>
  </w:style>
  <w:style w:type="character" w:styleId="Znakypropoznmkupodarou">
    <w:name w:val="Znaky pro poznámku pod čarou"/>
    <w:qFormat/>
    <w:rPr/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link w:val="ZkladntextChar"/>
    <w:rsid w:val="00131160"/>
    <w:pPr>
      <w:spacing w:before="0" w:after="12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Odsazentlatextu">
    <w:name w:val="Body Text Indent"/>
    <w:basedOn w:val="Normal"/>
    <w:link w:val="ZkladntextodsazenChar"/>
    <w:rsid w:val="00131160"/>
    <w:pPr>
      <w:ind w:left="708" w:firstLine="357"/>
      <w:jc w:val="both"/>
    </w:pPr>
    <w:rPr/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rsid w:val="00131160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Poznmkapodarou">
    <w:name w:val="Footnote Text"/>
    <w:basedOn w:val="Normal"/>
    <w:link w:val="TextpoznpodarouChar"/>
    <w:semiHidden/>
    <w:rsid w:val="00131160"/>
    <w:pPr/>
    <w:rPr>
      <w:sz w:val="20"/>
      <w:szCs w:val="20"/>
    </w:rPr>
  </w:style>
  <w:style w:type="paragraph" w:styleId="Nzevzkona" w:customStyle="1">
    <w:name w:val="název zákona"/>
    <w:basedOn w:val="Nzev"/>
    <w:qFormat/>
    <w:rsid w:val="00131160"/>
    <w:pPr/>
    <w:rPr>
      <w:rFonts w:ascii="Cambria" w:hAnsi="Cambria" w:cs="Cambria"/>
    </w:rPr>
  </w:style>
  <w:style w:type="paragraph" w:styleId="Nzev">
    <w:name w:val="Title"/>
    <w:basedOn w:val="Normal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Slalnk" w:customStyle="1">
    <w:name w:val="Čísla článků"/>
    <w:basedOn w:val="Normal"/>
    <w:qFormat/>
    <w:rsid w:val="00131160"/>
    <w:pPr>
      <w:keepNext w:val="true"/>
      <w:keepLines/>
      <w:spacing w:before="360" w:after="60"/>
      <w:jc w:val="center"/>
    </w:pPr>
    <w:rPr>
      <w:b/>
      <w:bCs/>
      <w:szCs w:val="20"/>
    </w:rPr>
  </w:style>
  <w:style w:type="paragraph" w:styleId="Nzvylnk" w:customStyle="1">
    <w:name w:val="Názvy článků"/>
    <w:basedOn w:val="Slalnk"/>
    <w:qFormat/>
    <w:rsid w:val="00131160"/>
    <w:pPr>
      <w:spacing w:before="60" w:after="160"/>
    </w:pPr>
    <w:rPr/>
  </w:style>
  <w:style w:type="paragraph" w:styleId="Oddstavcevlncch" w:customStyle="1">
    <w:name w:val="Oddstavce v článcích"/>
    <w:basedOn w:val="Normal"/>
    <w:next w:val="Normal"/>
    <w:qFormat/>
    <w:rsid w:val="00131160"/>
    <w:pPr>
      <w:keepLines/>
      <w:spacing w:before="0" w:after="60"/>
      <w:jc w:val="both"/>
    </w:pPr>
    <w:rPr/>
  </w:style>
  <w:style w:type="paragraph" w:styleId="Zpat">
    <w:name w:val="Footer"/>
    <w:basedOn w:val="Normal"/>
    <w:link w:val="ZpatChar"/>
    <w:uiPriority w:val="99"/>
    <w:rsid w:val="00b10e4f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NormlnIMP" w:customStyle="1">
    <w:name w:val="Normální_IMP"/>
    <w:basedOn w:val="Normal"/>
    <w:qFormat/>
    <w:rsid w:val="00c67504"/>
    <w:pPr>
      <w:suppressAutoHyphens w:val="true"/>
      <w:overflowPunct w:val="true"/>
      <w:spacing w:lineRule="auto" w:line="228"/>
      <w:jc w:val="both"/>
      <w:textAlignment w:val="baseline"/>
    </w:pPr>
    <w:rPr>
      <w:szCs w:val="20"/>
    </w:rPr>
  </w:style>
  <w:style w:type="paragraph" w:styleId="Default" w:customStyle="1">
    <w:name w:val="Default"/>
    <w:qFormat/>
    <w:rsid w:val="00650483"/>
    <w:pPr>
      <w:widowControl/>
      <w:bidi w:val="0"/>
      <w:spacing w:before="0" w:after="0"/>
      <w:jc w:val="left"/>
    </w:pPr>
    <w:rPr>
      <w:rFonts w:ascii="Arial" w:hAnsi="Arial" w:eastAsia="Times New Roman" w:cs="Arial"/>
      <w:color w:val="000000"/>
      <w:kern w:val="0"/>
      <w:sz w:val="24"/>
      <w:szCs w:val="24"/>
      <w:lang w:val="cs-CZ" w:eastAsia="cs-CZ" w:bidi="ar-SA"/>
    </w:rPr>
  </w:style>
  <w:style w:type="paragraph" w:styleId="Annotationtext">
    <w:name w:val="annotation text"/>
    <w:basedOn w:val="Normal"/>
    <w:link w:val="TextkomenteChar"/>
    <w:qFormat/>
    <w:rsid w:val="00c119a6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PedmtkomenteChar"/>
    <w:qFormat/>
    <w:rsid w:val="00c119a6"/>
    <w:pPr/>
    <w:rPr>
      <w:b/>
      <w:bCs/>
    </w:rPr>
  </w:style>
  <w:style w:type="paragraph" w:styleId="BalloonText">
    <w:name w:val="Balloon Text"/>
    <w:basedOn w:val="Normal"/>
    <w:link w:val="TextbublinyChar"/>
    <w:qFormat/>
    <w:rsid w:val="00c119a6"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8283d"/>
    <w:pPr>
      <w:ind w:left="720" w:hanging="0"/>
    </w:pPr>
    <w:rPr>
      <w:rFonts w:ascii="Calibri" w:hAnsi="Calibri" w:eastAsia="Calibri" w:cs="Calibri"/>
      <w:sz w:val="22"/>
      <w:szCs w:val="22"/>
      <w:lang w:eastAsia="en-US"/>
    </w:rPr>
  </w:style>
  <w:style w:type="paragraph" w:styleId="Revision">
    <w:name w:val="Revision"/>
    <w:uiPriority w:val="99"/>
    <w:semiHidden/>
    <w:qFormat/>
    <w:rsid w:val="00746ae3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Application>LibreOffice/6.3.4.2$Windows_X86_64 LibreOffice_project/60da17e045e08f1793c57c00ba83cdfce946d0aa</Application>
  <Pages>5</Pages>
  <Words>1337</Words>
  <Characters>7508</Characters>
  <CharactersWithSpaces>8826</CharactersWithSpaces>
  <Paragraphs>106</Paragraphs>
  <Company>Ministerstvo financí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2020-12-11T10:10:00Z</dcterms:created>
  <dc:creator>Mgr. Lukáš Toman</dc:creator>
  <dc:description/>
  <dc:language>cs-CZ</dc:language>
  <cp:lastModifiedBy/>
  <cp:lastPrinted>2022-12-08T09:26:40Z</cp:lastPrinted>
  <dcterms:modified xsi:type="dcterms:W3CDTF">2022-12-08T09:24:22Z</dcterms:modified>
  <cp:revision>39</cp:revision>
  <dc:subject/>
  <dc:title>Metodický materiál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Ministerstvo financí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