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3B1F" w14:textId="77777777" w:rsidR="00CF4B3F" w:rsidRDefault="00CF4B3F" w:rsidP="001D7C3E">
      <w:pPr>
        <w:pStyle w:val="Nzev"/>
        <w:spacing w:before="120"/>
        <w:rPr>
          <w:rFonts w:eastAsia="Calibri"/>
          <w:lang w:eastAsia="en-US"/>
        </w:rPr>
      </w:pPr>
      <w:r w:rsidRPr="00083904">
        <w:rPr>
          <w:rFonts w:eastAsia="Calibri"/>
          <w:lang w:eastAsia="en-US"/>
        </w:rPr>
        <w:t>OBEC TUCHOMĚŘICE</w:t>
      </w:r>
    </w:p>
    <w:p w14:paraId="2014034F" w14:textId="77777777" w:rsidR="00BC7B33" w:rsidRPr="00083904" w:rsidRDefault="00BC7B33" w:rsidP="001D7C3E">
      <w:pPr>
        <w:pStyle w:val="Nzev"/>
        <w:spacing w:before="120"/>
        <w:rPr>
          <w:rFonts w:eastAsia="Calibri"/>
          <w:lang w:eastAsia="en-US"/>
        </w:rPr>
      </w:pPr>
      <w:r>
        <w:rPr>
          <w:rFonts w:eastAsia="Calibri"/>
          <w:lang w:eastAsia="en-US"/>
        </w:rPr>
        <w:t>Zastupitelstvo obce Tuchoměřice</w:t>
      </w:r>
    </w:p>
    <w:p w14:paraId="3ACFA8AB" w14:textId="77777777" w:rsidR="00C04F4B" w:rsidRPr="00083904" w:rsidRDefault="00CF4B3F" w:rsidP="005F3009">
      <w:pPr>
        <w:pStyle w:val="Nzev"/>
        <w:spacing w:before="120"/>
        <w:rPr>
          <w:sz w:val="32"/>
          <w:szCs w:val="32"/>
        </w:rPr>
      </w:pPr>
      <w:r w:rsidRPr="00083904">
        <w:rPr>
          <w:rFonts w:eastAsia="Calibri"/>
          <w:lang w:eastAsia="en-US"/>
        </w:rPr>
        <w:t xml:space="preserve">OBECNĚ ZÁVAZNÁ VYHLÁŠKA </w:t>
      </w:r>
      <w:r w:rsidR="005F3009">
        <w:rPr>
          <w:rFonts w:eastAsia="Calibri"/>
          <w:lang w:eastAsia="en-US"/>
        </w:rPr>
        <w:t xml:space="preserve">obce Tuchoměřice </w:t>
      </w:r>
    </w:p>
    <w:p w14:paraId="4B868016" w14:textId="77777777" w:rsidR="00D71D43" w:rsidRPr="00083904" w:rsidRDefault="00C04F4B" w:rsidP="001D7C3E">
      <w:pPr>
        <w:pStyle w:val="Nzev"/>
        <w:spacing w:before="120"/>
        <w:rPr>
          <w:szCs w:val="28"/>
        </w:rPr>
      </w:pPr>
      <w:r w:rsidRPr="00083904">
        <w:rPr>
          <w:szCs w:val="28"/>
        </w:rPr>
        <w:t xml:space="preserve">o </w:t>
      </w:r>
      <w:r w:rsidR="004619C9" w:rsidRPr="00083904">
        <w:rPr>
          <w:szCs w:val="28"/>
        </w:rPr>
        <w:t>regulaci provozování hazardních her</w:t>
      </w:r>
    </w:p>
    <w:p w14:paraId="01ECAF47" w14:textId="77777777" w:rsidR="00D71D43" w:rsidRDefault="00D71D43" w:rsidP="001D7C3E">
      <w:pPr>
        <w:pStyle w:val="Zkladntext"/>
        <w:spacing w:before="120" w:after="0"/>
      </w:pPr>
    </w:p>
    <w:p w14:paraId="700CDDC1" w14:textId="77777777" w:rsidR="005F3009" w:rsidRPr="00083904" w:rsidRDefault="005F3009" w:rsidP="001D7C3E">
      <w:pPr>
        <w:pStyle w:val="Zkladntext"/>
        <w:spacing w:before="120" w:after="0"/>
      </w:pPr>
    </w:p>
    <w:p w14:paraId="38A42057" w14:textId="600788A2" w:rsidR="00B31361" w:rsidRPr="00083904" w:rsidRDefault="004B0A24" w:rsidP="007C42CA">
      <w:pPr>
        <w:pStyle w:val="Zkladntext"/>
        <w:spacing w:before="120" w:after="0"/>
      </w:pPr>
      <w:r w:rsidRPr="00083904">
        <w:t xml:space="preserve">Zastupitelstvo </w:t>
      </w:r>
      <w:r w:rsidR="00CF4B3F" w:rsidRPr="00083904">
        <w:t xml:space="preserve">obce Tuchoměřice </w:t>
      </w:r>
      <w:r w:rsidR="00DD720F" w:rsidRPr="00083904">
        <w:t>(dále též „</w:t>
      </w:r>
      <w:r w:rsidR="00DD720F" w:rsidRPr="00083904">
        <w:rPr>
          <w:b/>
          <w:bCs/>
        </w:rPr>
        <w:t>Obec</w:t>
      </w:r>
      <w:r w:rsidR="00DD720F" w:rsidRPr="00083904">
        <w:t xml:space="preserve">“) </w:t>
      </w:r>
      <w:r w:rsidRPr="00083904">
        <w:t>se na svém zasedání dne</w:t>
      </w:r>
      <w:r w:rsidR="005F3009">
        <w:t xml:space="preserve"> 18.10.2023</w:t>
      </w:r>
      <w:r w:rsidR="000F1114" w:rsidRPr="00083904">
        <w:t xml:space="preserve"> </w:t>
      </w:r>
      <w:r w:rsidR="00DD720F" w:rsidRPr="00083904">
        <w:t>usnesením</w:t>
      </w:r>
      <w:r w:rsidR="003553B1">
        <w:t xml:space="preserve"> 2/7/2023 </w:t>
      </w:r>
      <w:r w:rsidRPr="00083904">
        <w:t xml:space="preserve">usneslo vydat na základě ustanovení </w:t>
      </w:r>
      <w:r w:rsidR="003B31AC" w:rsidRPr="00083904">
        <w:t>§ 10 písm. a) a § 84 odst. 2 písm. h) zákona č. 128/2000 Sb., o obcích</w:t>
      </w:r>
      <w:r w:rsidR="002D650B" w:rsidRPr="00083904">
        <w:t xml:space="preserve"> (obecní zřízení),</w:t>
      </w:r>
      <w:r w:rsidR="003B31AC" w:rsidRPr="00083904">
        <w:t xml:space="preserve"> ve znění pozdějších předpisů</w:t>
      </w:r>
      <w:r w:rsidR="004619C9" w:rsidRPr="00083904">
        <w:t>,</w:t>
      </w:r>
      <w:r w:rsidR="003B31AC" w:rsidRPr="00083904">
        <w:t xml:space="preserve"> a v souladu s ustanovením </w:t>
      </w:r>
      <w:r w:rsidR="005F3009">
        <w:t xml:space="preserve">  </w:t>
      </w:r>
      <w:r w:rsidRPr="00083904">
        <w:t>§</w:t>
      </w:r>
      <w:r w:rsidR="005F3009">
        <w:t xml:space="preserve"> </w:t>
      </w:r>
      <w:r w:rsidR="004619C9" w:rsidRPr="00083904">
        <w:t>12</w:t>
      </w:r>
      <w:r w:rsidR="00BC7B33">
        <w:t xml:space="preserve"> </w:t>
      </w:r>
      <w:r w:rsidR="00EE5E6E" w:rsidRPr="00083904">
        <w:t>zákona č. 186/2016 Sb., o </w:t>
      </w:r>
      <w:r w:rsidR="004619C9" w:rsidRPr="00083904">
        <w:t>hazardních hrách</w:t>
      </w:r>
      <w:r w:rsidR="009E6DB1" w:rsidRPr="00083904">
        <w:t xml:space="preserve">, </w:t>
      </w:r>
      <w:r w:rsidR="001A33BD" w:rsidRPr="00083904">
        <w:t xml:space="preserve">ve znění pozdějších předpisů, </w:t>
      </w:r>
      <w:r w:rsidR="00895FE8" w:rsidRPr="00083904">
        <w:t>tuto obecně závaznou vyhlášku</w:t>
      </w:r>
      <w:r w:rsidR="00DD720F" w:rsidRPr="00083904">
        <w:t xml:space="preserve"> (dále též „</w:t>
      </w:r>
      <w:r w:rsidR="00DD720F" w:rsidRPr="00083904">
        <w:rPr>
          <w:b/>
          <w:bCs/>
        </w:rPr>
        <w:t>Vyhláška</w:t>
      </w:r>
      <w:r w:rsidR="00DD720F" w:rsidRPr="00083904">
        <w:t>“)</w:t>
      </w:r>
      <w:r w:rsidR="00895FE8" w:rsidRPr="00083904">
        <w:t>:</w:t>
      </w:r>
    </w:p>
    <w:p w14:paraId="0B797151" w14:textId="77777777" w:rsidR="00944735" w:rsidRDefault="00944735" w:rsidP="001D7C3E">
      <w:pPr>
        <w:jc w:val="center"/>
        <w:rPr>
          <w:b/>
        </w:rPr>
      </w:pPr>
    </w:p>
    <w:p w14:paraId="4CFCDD62" w14:textId="77777777" w:rsidR="005F3009" w:rsidRPr="00083904" w:rsidRDefault="005F3009" w:rsidP="001D7C3E">
      <w:pPr>
        <w:jc w:val="center"/>
        <w:rPr>
          <w:b/>
        </w:rPr>
      </w:pPr>
    </w:p>
    <w:p w14:paraId="1BC5D1D8" w14:textId="77777777" w:rsidR="00515C95" w:rsidRPr="00083904" w:rsidRDefault="00515C95" w:rsidP="001D7C3E">
      <w:pPr>
        <w:jc w:val="center"/>
        <w:rPr>
          <w:b/>
        </w:rPr>
      </w:pPr>
      <w:r w:rsidRPr="00083904">
        <w:rPr>
          <w:b/>
        </w:rPr>
        <w:t>Článek 1</w:t>
      </w:r>
    </w:p>
    <w:p w14:paraId="0F100BC3" w14:textId="77777777" w:rsidR="00515C95" w:rsidRPr="00083904" w:rsidRDefault="00770C1B" w:rsidP="001D7C3E">
      <w:pPr>
        <w:jc w:val="center"/>
        <w:rPr>
          <w:b/>
          <w:strike/>
        </w:rPr>
      </w:pPr>
      <w:r w:rsidRPr="00083904">
        <w:rPr>
          <w:b/>
        </w:rPr>
        <w:t xml:space="preserve">Předmět a </w:t>
      </w:r>
      <w:r w:rsidR="00CB7F1D" w:rsidRPr="00083904">
        <w:rPr>
          <w:b/>
        </w:rPr>
        <w:t>cíl</w:t>
      </w:r>
    </w:p>
    <w:p w14:paraId="759FE578" w14:textId="77777777" w:rsidR="001D7C3E" w:rsidRPr="00083904" w:rsidRDefault="001D7C3E" w:rsidP="001D7C3E">
      <w:pPr>
        <w:numPr>
          <w:ilvl w:val="0"/>
          <w:numId w:val="21"/>
        </w:numPr>
        <w:spacing w:before="120"/>
        <w:ind w:left="357" w:hanging="357"/>
        <w:jc w:val="both"/>
        <w:rPr>
          <w:rFonts w:eastAsia="Calibri"/>
          <w:lang w:eastAsia="en-US"/>
        </w:rPr>
      </w:pPr>
      <w:r w:rsidRPr="00083904">
        <w:t xml:space="preserve">Předmětem této </w:t>
      </w:r>
      <w:r w:rsidR="00DD720F" w:rsidRPr="00083904">
        <w:t>V</w:t>
      </w:r>
      <w:r w:rsidRPr="00083904">
        <w:t xml:space="preserve">yhlášky je </w:t>
      </w:r>
      <w:r w:rsidR="00083904" w:rsidRPr="00083904">
        <w:t xml:space="preserve">vyloučit </w:t>
      </w:r>
      <w:r w:rsidRPr="00083904">
        <w:t>společenská rizika vyplývající z provozování hazardních her, které často tvoří tzv. předpolí činností rozporných s veřejným pořádkem v </w:t>
      </w:r>
      <w:r w:rsidR="00640774">
        <w:t>O</w:t>
      </w:r>
      <w:r w:rsidRPr="00083904">
        <w:t>bci, a které mají škodlivý vliv na jejich účastníky a osoby jim blízké, osoby sociálně vyloučené, děti, mladistvé a seniory.</w:t>
      </w:r>
    </w:p>
    <w:p w14:paraId="12331E30" w14:textId="77777777" w:rsidR="001D7C3E" w:rsidRPr="00083904" w:rsidRDefault="001D7C3E" w:rsidP="001D7C3E">
      <w:pPr>
        <w:numPr>
          <w:ilvl w:val="0"/>
          <w:numId w:val="21"/>
        </w:numPr>
        <w:spacing w:before="120"/>
        <w:ind w:left="357" w:hanging="357"/>
        <w:jc w:val="both"/>
        <w:rPr>
          <w:rFonts w:eastAsia="Calibri"/>
          <w:lang w:eastAsia="en-US"/>
        </w:rPr>
      </w:pPr>
      <w:r w:rsidRPr="00083904">
        <w:t xml:space="preserve">Cílem této </w:t>
      </w:r>
      <w:r w:rsidR="00DD720F" w:rsidRPr="00083904">
        <w:t>V</w:t>
      </w:r>
      <w:r w:rsidRPr="00083904">
        <w:t>yhlášky je zejména:</w:t>
      </w:r>
    </w:p>
    <w:p w14:paraId="4E19D900" w14:textId="77777777" w:rsidR="001D7C3E" w:rsidRPr="00083904" w:rsidRDefault="001D7C3E" w:rsidP="001D7C3E">
      <w:pPr>
        <w:numPr>
          <w:ilvl w:val="1"/>
          <w:numId w:val="21"/>
        </w:numPr>
        <w:spacing w:before="120"/>
        <w:jc w:val="both"/>
        <w:rPr>
          <w:rFonts w:eastAsia="Calibri"/>
          <w:lang w:eastAsia="en-US"/>
        </w:rPr>
      </w:pPr>
      <w:r w:rsidRPr="00083904">
        <w:t>zajištění veřejného pořádku;</w:t>
      </w:r>
    </w:p>
    <w:p w14:paraId="50A6AC5E" w14:textId="77777777" w:rsidR="001D7C3E" w:rsidRPr="00083904" w:rsidRDefault="001D7C3E" w:rsidP="001D7C3E">
      <w:pPr>
        <w:numPr>
          <w:ilvl w:val="1"/>
          <w:numId w:val="21"/>
        </w:numPr>
        <w:spacing w:before="120"/>
        <w:jc w:val="both"/>
        <w:rPr>
          <w:rFonts w:eastAsia="Calibri"/>
          <w:lang w:eastAsia="en-US"/>
        </w:rPr>
      </w:pPr>
      <w:r w:rsidRPr="00083904">
        <w:t xml:space="preserve">umožnit pokojné a bezpečné soužití občanů i návštěvníků </w:t>
      </w:r>
      <w:r w:rsidR="00640774">
        <w:t>O</w:t>
      </w:r>
      <w:r w:rsidRPr="00083904">
        <w:t>bce, uspokojit jejich potřeby a zároveň vytvořit příznivé podmínky pro život v </w:t>
      </w:r>
      <w:r w:rsidR="00640774">
        <w:t>O</w:t>
      </w:r>
      <w:r w:rsidRPr="00083904">
        <w:t>bci;</w:t>
      </w:r>
    </w:p>
    <w:p w14:paraId="252F640C" w14:textId="77777777" w:rsidR="001D7C3E" w:rsidRPr="00083904" w:rsidRDefault="00083904" w:rsidP="001D7C3E">
      <w:pPr>
        <w:numPr>
          <w:ilvl w:val="1"/>
          <w:numId w:val="21"/>
        </w:numPr>
        <w:spacing w:before="120"/>
        <w:jc w:val="both"/>
        <w:rPr>
          <w:rFonts w:eastAsia="Calibri"/>
          <w:lang w:eastAsia="en-US"/>
        </w:rPr>
      </w:pPr>
      <w:r w:rsidRPr="00083904">
        <w:rPr>
          <w:rFonts w:eastAsia="Calibri"/>
          <w:lang w:eastAsia="en-US"/>
        </w:rPr>
        <w:t xml:space="preserve">vyloučení </w:t>
      </w:r>
      <w:r w:rsidR="001D7C3E" w:rsidRPr="00083904">
        <w:rPr>
          <w:rFonts w:eastAsia="Calibri"/>
          <w:lang w:eastAsia="en-US"/>
        </w:rPr>
        <w:t>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majetku, a které mohou vést ke zvýšení kriminality a dalších patologických jevů.</w:t>
      </w:r>
    </w:p>
    <w:p w14:paraId="261DE84B" w14:textId="77777777" w:rsidR="00083904" w:rsidRDefault="00083904" w:rsidP="00083904">
      <w:pPr>
        <w:pStyle w:val="Pa5"/>
        <w:spacing w:before="40" w:after="40"/>
        <w:ind w:left="720"/>
        <w:jc w:val="both"/>
        <w:rPr>
          <w:rFonts w:ascii="Times New Roman" w:hAnsi="Times New Roman"/>
        </w:rPr>
      </w:pPr>
    </w:p>
    <w:p w14:paraId="6465471B" w14:textId="77777777" w:rsidR="005F3009" w:rsidRPr="005F3009" w:rsidRDefault="005F3009" w:rsidP="005F3009">
      <w:pPr>
        <w:pStyle w:val="Default"/>
        <w:rPr>
          <w:lang w:eastAsia="cs-CZ"/>
        </w:rPr>
      </w:pPr>
    </w:p>
    <w:p w14:paraId="1C65CA0D" w14:textId="77777777" w:rsidR="00BD4FE0" w:rsidRPr="00083904" w:rsidRDefault="007020EB" w:rsidP="00C46AD4">
      <w:pPr>
        <w:jc w:val="center"/>
        <w:rPr>
          <w:b/>
        </w:rPr>
      </w:pPr>
      <w:r w:rsidRPr="00083904">
        <w:rPr>
          <w:b/>
        </w:rPr>
        <w:t>Článek 2</w:t>
      </w:r>
    </w:p>
    <w:p w14:paraId="08051624" w14:textId="77777777" w:rsidR="00C46AD4" w:rsidRPr="00083904" w:rsidRDefault="00083904" w:rsidP="00C46AD4">
      <w:pPr>
        <w:jc w:val="center"/>
        <w:rPr>
          <w:b/>
        </w:rPr>
      </w:pPr>
      <w:r w:rsidRPr="00083904">
        <w:rPr>
          <w:b/>
        </w:rPr>
        <w:t xml:space="preserve">Zákaz provozování </w:t>
      </w:r>
    </w:p>
    <w:p w14:paraId="462F0625" w14:textId="77777777" w:rsidR="00C46AD4" w:rsidRPr="00083904" w:rsidRDefault="00083904" w:rsidP="00C46AD4">
      <w:pPr>
        <w:numPr>
          <w:ilvl w:val="0"/>
          <w:numId w:val="22"/>
        </w:numPr>
        <w:spacing w:before="120"/>
        <w:ind w:left="357" w:hanging="357"/>
        <w:jc w:val="both"/>
      </w:pPr>
      <w:r w:rsidRPr="00083904">
        <w:t xml:space="preserve">Provozování </w:t>
      </w:r>
      <w:r w:rsidR="00C46AD4" w:rsidRPr="00083904">
        <w:t>bing</w:t>
      </w:r>
      <w:r w:rsidRPr="00083904">
        <w:t>a</w:t>
      </w:r>
      <w:r w:rsidR="005149A0" w:rsidRPr="00083904">
        <w:rPr>
          <w:rStyle w:val="Znakapoznpodarou"/>
        </w:rPr>
        <w:footnoteReference w:id="1"/>
      </w:r>
      <w:r w:rsidR="00C46AD4" w:rsidRPr="00083904">
        <w:t>, technick</w:t>
      </w:r>
      <w:r w:rsidRPr="00083904">
        <w:t>é</w:t>
      </w:r>
      <w:r w:rsidR="00C46AD4" w:rsidRPr="00083904">
        <w:t xml:space="preserve"> hr</w:t>
      </w:r>
      <w:r w:rsidRPr="00083904">
        <w:t>y</w:t>
      </w:r>
      <w:r w:rsidR="005149A0" w:rsidRPr="00083904">
        <w:rPr>
          <w:rStyle w:val="Znakapoznpodarou"/>
        </w:rPr>
        <w:footnoteReference w:id="2"/>
      </w:r>
      <w:r w:rsidRPr="00083904">
        <w:t>,</w:t>
      </w:r>
      <w:r w:rsidR="00C46AD4" w:rsidRPr="00083904">
        <w:t xml:space="preserve"> živ</w:t>
      </w:r>
      <w:r w:rsidRPr="00083904">
        <w:t>é</w:t>
      </w:r>
      <w:r w:rsidR="00C46AD4" w:rsidRPr="00083904">
        <w:t xml:space="preserve"> hr</w:t>
      </w:r>
      <w:r w:rsidRPr="00083904">
        <w:t>y</w:t>
      </w:r>
      <w:r w:rsidR="005149A0" w:rsidRPr="00083904">
        <w:rPr>
          <w:rStyle w:val="Znakapoznpodarou"/>
        </w:rPr>
        <w:footnoteReference w:id="3"/>
      </w:r>
      <w:r w:rsidR="00C46AD4" w:rsidRPr="00083904">
        <w:t xml:space="preserve"> </w:t>
      </w:r>
      <w:r w:rsidRPr="00083904">
        <w:t>a turnaje malého rozsahu</w:t>
      </w:r>
      <w:r w:rsidRPr="00083904">
        <w:rPr>
          <w:rStyle w:val="Znakapoznpodarou"/>
        </w:rPr>
        <w:footnoteReference w:id="4"/>
      </w:r>
      <w:r w:rsidRPr="00083904">
        <w:t xml:space="preserve">,  </w:t>
      </w:r>
      <w:r w:rsidR="00644CFD" w:rsidRPr="00083904">
        <w:t xml:space="preserve">(dále společně též Hazardní hry) </w:t>
      </w:r>
      <w:r w:rsidRPr="00083904">
        <w:t xml:space="preserve">je </w:t>
      </w:r>
      <w:r w:rsidR="00C46AD4" w:rsidRPr="00083904">
        <w:t xml:space="preserve">na </w:t>
      </w:r>
      <w:r w:rsidRPr="00083904">
        <w:t xml:space="preserve">celém </w:t>
      </w:r>
      <w:r w:rsidR="00C46AD4" w:rsidRPr="00083904">
        <w:t xml:space="preserve">území </w:t>
      </w:r>
      <w:r w:rsidR="00640774">
        <w:t>O</w:t>
      </w:r>
      <w:r w:rsidR="00C46AD4" w:rsidRPr="00083904">
        <w:t xml:space="preserve">bce </w:t>
      </w:r>
      <w:r w:rsidRPr="00083904">
        <w:t>zakázáno.</w:t>
      </w:r>
    </w:p>
    <w:p w14:paraId="150B9395" w14:textId="77777777" w:rsidR="00A9021A" w:rsidRDefault="00A9021A" w:rsidP="001D7C3E">
      <w:pPr>
        <w:pStyle w:val="Default"/>
        <w:spacing w:before="120"/>
        <w:rPr>
          <w:color w:val="auto"/>
        </w:rPr>
      </w:pPr>
    </w:p>
    <w:p w14:paraId="7829824F" w14:textId="77777777" w:rsidR="005F3009" w:rsidRDefault="005F3009" w:rsidP="001D7C3E">
      <w:pPr>
        <w:pStyle w:val="Default"/>
        <w:spacing w:before="120"/>
        <w:rPr>
          <w:color w:val="auto"/>
        </w:rPr>
      </w:pPr>
    </w:p>
    <w:p w14:paraId="6B78FFF7" w14:textId="77777777" w:rsidR="005F3009" w:rsidRDefault="005F3009" w:rsidP="001D7C3E">
      <w:pPr>
        <w:pStyle w:val="Default"/>
        <w:spacing w:before="120"/>
        <w:rPr>
          <w:color w:val="auto"/>
        </w:rPr>
      </w:pPr>
    </w:p>
    <w:p w14:paraId="1C009CE5" w14:textId="77777777" w:rsidR="005F3009" w:rsidRPr="00083904" w:rsidRDefault="005F3009" w:rsidP="001D7C3E">
      <w:pPr>
        <w:pStyle w:val="Default"/>
        <w:spacing w:before="120"/>
        <w:rPr>
          <w:color w:val="auto"/>
        </w:rPr>
      </w:pPr>
    </w:p>
    <w:p w14:paraId="5E8FC1E6" w14:textId="77777777" w:rsidR="00B24CDF" w:rsidRPr="00083904" w:rsidRDefault="007020EB" w:rsidP="00644CFD">
      <w:pPr>
        <w:jc w:val="center"/>
        <w:rPr>
          <w:b/>
        </w:rPr>
      </w:pPr>
      <w:r w:rsidRPr="00083904">
        <w:rPr>
          <w:b/>
        </w:rPr>
        <w:t xml:space="preserve">Článek </w:t>
      </w:r>
      <w:r w:rsidR="00083904" w:rsidRPr="00083904">
        <w:rPr>
          <w:b/>
        </w:rPr>
        <w:t>3</w:t>
      </w:r>
    </w:p>
    <w:p w14:paraId="4C0E840C" w14:textId="77777777" w:rsidR="00B24CDF" w:rsidRPr="00083904" w:rsidRDefault="00B24CDF" w:rsidP="00644CFD">
      <w:pPr>
        <w:jc w:val="center"/>
        <w:rPr>
          <w:b/>
        </w:rPr>
      </w:pPr>
      <w:r w:rsidRPr="00083904">
        <w:rPr>
          <w:b/>
        </w:rPr>
        <w:t>Přechodn</w:t>
      </w:r>
      <w:r w:rsidR="008314F5" w:rsidRPr="00083904">
        <w:rPr>
          <w:b/>
        </w:rPr>
        <w:t>é</w:t>
      </w:r>
      <w:r w:rsidRPr="00083904">
        <w:rPr>
          <w:b/>
        </w:rPr>
        <w:t xml:space="preserve"> ustanovení</w:t>
      </w:r>
    </w:p>
    <w:p w14:paraId="63ECA4FC" w14:textId="77777777" w:rsidR="00944735" w:rsidRPr="00083904" w:rsidRDefault="00944735" w:rsidP="00944735">
      <w:pPr>
        <w:pStyle w:val="Pa5"/>
        <w:spacing w:before="40" w:after="40"/>
        <w:jc w:val="both"/>
        <w:rPr>
          <w:rFonts w:ascii="Times New Roman" w:hAnsi="Times New Roman"/>
        </w:rPr>
      </w:pPr>
      <w:r w:rsidRPr="00083904">
        <w:rPr>
          <w:rFonts w:ascii="Times New Roman" w:hAnsi="Times New Roman"/>
        </w:rPr>
        <w:t xml:space="preserve">Bingo, </w:t>
      </w:r>
      <w:r w:rsidR="00BC7B33">
        <w:rPr>
          <w:rFonts w:ascii="Times New Roman" w:hAnsi="Times New Roman"/>
        </w:rPr>
        <w:t xml:space="preserve">turnaje malého rozsahu, </w:t>
      </w:r>
      <w:r w:rsidRPr="00083904">
        <w:rPr>
          <w:rFonts w:ascii="Times New Roman" w:hAnsi="Times New Roman"/>
        </w:rPr>
        <w:t xml:space="preserve">technickou hru a živou hru povolené přede dnem nabytí účinnosti této </w:t>
      </w:r>
      <w:r w:rsidR="00C95DAE">
        <w:rPr>
          <w:rFonts w:ascii="Times New Roman" w:hAnsi="Times New Roman"/>
        </w:rPr>
        <w:t>v</w:t>
      </w:r>
      <w:r w:rsidRPr="00083904">
        <w:rPr>
          <w:rFonts w:ascii="Times New Roman" w:hAnsi="Times New Roman"/>
        </w:rPr>
        <w:t xml:space="preserve">yhlášky lze </w:t>
      </w:r>
      <w:r w:rsidRPr="00056F5A">
        <w:rPr>
          <w:rFonts w:ascii="Times New Roman" w:hAnsi="Times New Roman"/>
        </w:rPr>
        <w:t xml:space="preserve">provozovat </w:t>
      </w:r>
      <w:r w:rsidR="00C95DAE" w:rsidRPr="00056F5A">
        <w:rPr>
          <w:rFonts w:ascii="Times New Roman" w:hAnsi="Times New Roman"/>
        </w:rPr>
        <w:t xml:space="preserve">na území Obce </w:t>
      </w:r>
      <w:r w:rsidRPr="00056F5A">
        <w:rPr>
          <w:rFonts w:ascii="Times New Roman" w:hAnsi="Times New Roman"/>
        </w:rPr>
        <w:t xml:space="preserve">nejdéle </w:t>
      </w:r>
      <w:r w:rsidR="00C95DAE" w:rsidRPr="00056F5A">
        <w:rPr>
          <w:rFonts w:ascii="Times New Roman" w:hAnsi="Times New Roman"/>
        </w:rPr>
        <w:t>do 31. 12. 2023</w:t>
      </w:r>
      <w:r w:rsidRPr="00056F5A">
        <w:rPr>
          <w:rFonts w:ascii="Times New Roman" w:hAnsi="Times New Roman"/>
        </w:rPr>
        <w:t>.</w:t>
      </w:r>
      <w:r w:rsidRPr="00083904">
        <w:rPr>
          <w:rFonts w:ascii="Times New Roman" w:hAnsi="Times New Roman"/>
        </w:rPr>
        <w:t xml:space="preserve"> </w:t>
      </w:r>
    </w:p>
    <w:p w14:paraId="08825594" w14:textId="77777777" w:rsidR="004B0A24" w:rsidRPr="00083904" w:rsidRDefault="004B0A24" w:rsidP="001D7C3E">
      <w:pPr>
        <w:spacing w:before="120"/>
        <w:jc w:val="both"/>
        <w:rPr>
          <w:sz w:val="27"/>
          <w:szCs w:val="27"/>
        </w:rPr>
      </w:pPr>
    </w:p>
    <w:p w14:paraId="0B19D62D" w14:textId="77777777" w:rsidR="00F4645B" w:rsidRDefault="00F4645B" w:rsidP="00F4645B">
      <w:pPr>
        <w:spacing w:before="120"/>
        <w:jc w:val="center"/>
        <w:rPr>
          <w:b/>
          <w:bCs/>
        </w:rPr>
      </w:pPr>
      <w:r w:rsidRPr="00F4645B">
        <w:rPr>
          <w:b/>
          <w:bCs/>
        </w:rPr>
        <w:t>Článek 4</w:t>
      </w:r>
    </w:p>
    <w:p w14:paraId="793A33CB" w14:textId="77777777" w:rsidR="003E2DD0" w:rsidRDefault="003E2DD0" w:rsidP="00F4645B">
      <w:pPr>
        <w:spacing w:before="120"/>
        <w:jc w:val="center"/>
        <w:rPr>
          <w:b/>
          <w:bCs/>
        </w:rPr>
      </w:pPr>
      <w:r>
        <w:rPr>
          <w:b/>
          <w:bCs/>
        </w:rPr>
        <w:t>Účinnost</w:t>
      </w:r>
    </w:p>
    <w:p w14:paraId="48E1DC78" w14:textId="77777777" w:rsidR="003E2DD0" w:rsidRPr="003E2DD0" w:rsidRDefault="003E2DD0" w:rsidP="003E2DD0">
      <w:pPr>
        <w:spacing w:before="120"/>
      </w:pPr>
      <w:r>
        <w:t>Tato obecně závazná vyhláška nabývá účinnosti počátkem patnáctého dne následujícího po dni jejího vyhlášení.</w:t>
      </w:r>
    </w:p>
    <w:p w14:paraId="1BD3CCD3" w14:textId="77777777" w:rsidR="00640774" w:rsidRDefault="00640774" w:rsidP="001D7C3E">
      <w:pPr>
        <w:spacing w:before="120"/>
        <w:jc w:val="both"/>
      </w:pPr>
    </w:p>
    <w:p w14:paraId="27657D57" w14:textId="77777777" w:rsidR="003E2DD0" w:rsidRDefault="003E2DD0" w:rsidP="001D7C3E">
      <w:pPr>
        <w:spacing w:before="120"/>
        <w:jc w:val="both"/>
      </w:pPr>
    </w:p>
    <w:p w14:paraId="47E8C368" w14:textId="7ED06921" w:rsidR="001D7C3E" w:rsidRPr="00F4645B" w:rsidRDefault="00F4645B" w:rsidP="00F4645B">
      <w:pPr>
        <w:spacing w:before="120"/>
        <w:jc w:val="both"/>
      </w:pPr>
      <w:r>
        <w:t xml:space="preserve"> </w:t>
      </w:r>
      <w:r w:rsidRPr="00F4645B">
        <w:t>Ing. Pavel Cihlář PhD.</w:t>
      </w:r>
      <w:r w:rsidRPr="00F4645B">
        <w:tab/>
      </w:r>
      <w:r w:rsidRPr="00F4645B">
        <w:tab/>
      </w:r>
      <w:r>
        <w:t xml:space="preserve">   </w:t>
      </w:r>
      <w:r w:rsidRPr="00F4645B">
        <w:t>Bc. Barbora Boulová</w:t>
      </w:r>
      <w:r w:rsidRPr="00F4645B">
        <w:tab/>
      </w:r>
      <w:r w:rsidRPr="00F4645B">
        <w:tab/>
        <w:t>Miroslav Rolc</w:t>
      </w:r>
    </w:p>
    <w:p w14:paraId="479D468C" w14:textId="37B04B7A" w:rsidR="00F4645B" w:rsidRPr="00F4645B" w:rsidRDefault="00F4645B" w:rsidP="00F4645B">
      <w:pPr>
        <w:spacing w:before="120"/>
        <w:jc w:val="both"/>
      </w:pPr>
      <w:r>
        <w:t xml:space="preserve">         </w:t>
      </w:r>
      <w:r w:rsidRPr="00F4645B">
        <w:t>starosta</w:t>
      </w:r>
      <w:r w:rsidRPr="00F4645B">
        <w:tab/>
      </w:r>
      <w:r w:rsidRPr="00F4645B">
        <w:tab/>
      </w:r>
      <w:r w:rsidRPr="00F4645B">
        <w:tab/>
      </w:r>
      <w:r>
        <w:t xml:space="preserve">       </w:t>
      </w:r>
      <w:r w:rsidR="00CD2DF1">
        <w:t xml:space="preserve">             </w:t>
      </w:r>
      <w:r>
        <w:t xml:space="preserve"> </w:t>
      </w:r>
      <w:r w:rsidRPr="00F4645B">
        <w:t>místostarostka</w:t>
      </w:r>
      <w:r w:rsidRPr="00F4645B">
        <w:tab/>
      </w:r>
      <w:r w:rsidRPr="00F4645B">
        <w:tab/>
      </w:r>
      <w:r w:rsidRPr="00F4645B">
        <w:tab/>
      </w:r>
      <w:r>
        <w:t xml:space="preserve"> </w:t>
      </w:r>
      <w:r w:rsidRPr="00F4645B">
        <w:t>místostarosta</w:t>
      </w:r>
    </w:p>
    <w:p w14:paraId="77A8338F" w14:textId="77777777" w:rsidR="00B11485" w:rsidRPr="00083904" w:rsidRDefault="00B11485" w:rsidP="003E2DD0">
      <w:pPr>
        <w:pStyle w:val="Zkladntext"/>
        <w:spacing w:before="120" w:after="0"/>
      </w:pPr>
    </w:p>
    <w:p w14:paraId="0ACEF8D4" w14:textId="77777777" w:rsidR="00B11485" w:rsidRPr="00083904" w:rsidRDefault="00B11485" w:rsidP="001D7C3E">
      <w:pPr>
        <w:pStyle w:val="Zkladntext"/>
        <w:spacing w:before="120" w:after="0"/>
        <w:ind w:firstLine="708"/>
      </w:pPr>
    </w:p>
    <w:p w14:paraId="412C8481" w14:textId="77777777" w:rsidR="00B11485" w:rsidRPr="00083904" w:rsidRDefault="00B11485" w:rsidP="001D7C3E">
      <w:pPr>
        <w:pStyle w:val="Zkladntext"/>
        <w:spacing w:before="120" w:after="0"/>
        <w:ind w:firstLine="708"/>
      </w:pPr>
    </w:p>
    <w:p w14:paraId="63E41823" w14:textId="77777777" w:rsidR="00B11485" w:rsidRPr="00083904" w:rsidRDefault="00B11485" w:rsidP="001D7C3E">
      <w:pPr>
        <w:pStyle w:val="Zkladntext"/>
        <w:spacing w:before="120" w:after="0"/>
        <w:ind w:firstLine="708"/>
      </w:pPr>
    </w:p>
    <w:p w14:paraId="407ED74C" w14:textId="77777777" w:rsidR="00B57642" w:rsidRPr="00083904" w:rsidRDefault="00B57642" w:rsidP="001D7C3E">
      <w:pPr>
        <w:pStyle w:val="Zkladntext"/>
        <w:spacing w:before="120" w:after="0"/>
        <w:ind w:firstLine="708"/>
      </w:pPr>
    </w:p>
    <w:p w14:paraId="5D165D9E" w14:textId="77777777" w:rsidR="00B57642" w:rsidRPr="00083904" w:rsidRDefault="00B57642" w:rsidP="001D7C3E">
      <w:pPr>
        <w:pStyle w:val="Zkladntext"/>
        <w:spacing w:before="120" w:after="0"/>
        <w:ind w:firstLine="708"/>
      </w:pPr>
    </w:p>
    <w:p w14:paraId="3E125C87" w14:textId="77777777" w:rsidR="00B57642" w:rsidRPr="00083904" w:rsidRDefault="00B57642" w:rsidP="001D7C3E">
      <w:pPr>
        <w:pStyle w:val="Zkladntext"/>
        <w:spacing w:before="120" w:after="0"/>
        <w:ind w:firstLine="708"/>
      </w:pPr>
    </w:p>
    <w:sectPr w:rsidR="00B57642" w:rsidRPr="00083904" w:rsidSect="0022656C">
      <w:headerReference w:type="default" r:id="rId11"/>
      <w:pgSz w:w="11907" w:h="16840"/>
      <w:pgMar w:top="1418" w:right="1134" w:bottom="1134" w:left="1134" w:header="709" w:footer="709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205A" w14:textId="77777777" w:rsidR="004B11EE" w:rsidRDefault="004B11EE">
      <w:r>
        <w:separator/>
      </w:r>
    </w:p>
  </w:endnote>
  <w:endnote w:type="continuationSeparator" w:id="0">
    <w:p w14:paraId="335D0527" w14:textId="77777777" w:rsidR="004B11EE" w:rsidRDefault="004B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06D89" w14:textId="77777777" w:rsidR="004B11EE" w:rsidRDefault="004B11EE">
      <w:r>
        <w:separator/>
      </w:r>
    </w:p>
  </w:footnote>
  <w:footnote w:type="continuationSeparator" w:id="0">
    <w:p w14:paraId="45FD404B" w14:textId="77777777" w:rsidR="004B11EE" w:rsidRDefault="004B11EE">
      <w:r>
        <w:continuationSeparator/>
      </w:r>
    </w:p>
  </w:footnote>
  <w:footnote w:id="1">
    <w:p w14:paraId="601A1EDD" w14:textId="77777777" w:rsidR="005149A0" w:rsidRPr="005149A0" w:rsidRDefault="005149A0" w:rsidP="005149A0">
      <w:pPr>
        <w:pStyle w:val="Textpoznpodarou"/>
        <w:rPr>
          <w:sz w:val="16"/>
          <w:szCs w:val="16"/>
        </w:rPr>
      </w:pPr>
      <w:r w:rsidRPr="005149A0">
        <w:rPr>
          <w:rStyle w:val="Znakapoznpodarou"/>
          <w:sz w:val="16"/>
          <w:szCs w:val="16"/>
        </w:rPr>
        <w:footnoteRef/>
      </w:r>
      <w:r w:rsidRPr="005149A0">
        <w:rPr>
          <w:sz w:val="16"/>
          <w:szCs w:val="16"/>
        </w:rPr>
        <w:t xml:space="preserve"> § 39 </w:t>
      </w:r>
      <w:r w:rsidR="008C7FF1">
        <w:rPr>
          <w:sz w:val="16"/>
          <w:szCs w:val="16"/>
        </w:rPr>
        <w:t xml:space="preserve">a násl. </w:t>
      </w:r>
      <w:r w:rsidRPr="005149A0">
        <w:rPr>
          <w:sz w:val="16"/>
          <w:szCs w:val="16"/>
        </w:rPr>
        <w:t>zákona č. 186/2016 Sb., o hazardních hrách.</w:t>
      </w:r>
    </w:p>
  </w:footnote>
  <w:footnote w:id="2">
    <w:p w14:paraId="651EDE32" w14:textId="77777777" w:rsidR="005149A0" w:rsidRPr="005149A0" w:rsidRDefault="005149A0" w:rsidP="005149A0">
      <w:pPr>
        <w:pStyle w:val="Textpoznpodarou"/>
        <w:rPr>
          <w:sz w:val="16"/>
          <w:szCs w:val="16"/>
        </w:rPr>
      </w:pPr>
      <w:r w:rsidRPr="005149A0">
        <w:rPr>
          <w:rStyle w:val="Znakapoznpodarou"/>
          <w:sz w:val="16"/>
          <w:szCs w:val="16"/>
        </w:rPr>
        <w:footnoteRef/>
      </w:r>
      <w:r w:rsidRPr="005149A0">
        <w:rPr>
          <w:sz w:val="16"/>
          <w:szCs w:val="16"/>
        </w:rPr>
        <w:t xml:space="preserve"> § </w:t>
      </w:r>
      <w:r w:rsidR="008C7FF1">
        <w:rPr>
          <w:sz w:val="16"/>
          <w:szCs w:val="16"/>
        </w:rPr>
        <w:t>42 a násl.</w:t>
      </w:r>
      <w:r w:rsidRPr="005149A0">
        <w:rPr>
          <w:sz w:val="16"/>
          <w:szCs w:val="16"/>
        </w:rPr>
        <w:t xml:space="preserve"> zákona č. 186/2016 Sb., o hazardních hrách.</w:t>
      </w:r>
    </w:p>
  </w:footnote>
  <w:footnote w:id="3">
    <w:p w14:paraId="6C3F232A" w14:textId="77777777" w:rsidR="005149A0" w:rsidRPr="005149A0" w:rsidRDefault="005149A0" w:rsidP="005149A0">
      <w:pPr>
        <w:pStyle w:val="Textpoznpodarou"/>
        <w:rPr>
          <w:sz w:val="16"/>
          <w:szCs w:val="16"/>
        </w:rPr>
      </w:pPr>
      <w:r w:rsidRPr="005149A0">
        <w:rPr>
          <w:rStyle w:val="Znakapoznpodarou"/>
          <w:sz w:val="16"/>
          <w:szCs w:val="16"/>
        </w:rPr>
        <w:footnoteRef/>
      </w:r>
      <w:r w:rsidRPr="005149A0">
        <w:rPr>
          <w:sz w:val="16"/>
          <w:szCs w:val="16"/>
        </w:rPr>
        <w:t xml:space="preserve"> § </w:t>
      </w:r>
      <w:r w:rsidR="008C7FF1">
        <w:rPr>
          <w:sz w:val="16"/>
          <w:szCs w:val="16"/>
        </w:rPr>
        <w:t xml:space="preserve">57 a násl. </w:t>
      </w:r>
      <w:r w:rsidRPr="005149A0">
        <w:rPr>
          <w:sz w:val="16"/>
          <w:szCs w:val="16"/>
        </w:rPr>
        <w:t>zákona č. 186/2016 Sb., o hazardních hrách.</w:t>
      </w:r>
    </w:p>
  </w:footnote>
  <w:footnote w:id="4">
    <w:p w14:paraId="4D34FDE4" w14:textId="77777777" w:rsidR="00083904" w:rsidRPr="005149A0" w:rsidRDefault="00083904" w:rsidP="00083904">
      <w:pPr>
        <w:pStyle w:val="Textpoznpodarou"/>
        <w:rPr>
          <w:sz w:val="16"/>
          <w:szCs w:val="16"/>
        </w:rPr>
      </w:pPr>
      <w:r w:rsidRPr="005149A0">
        <w:rPr>
          <w:rStyle w:val="Znakapoznpodarou"/>
          <w:sz w:val="16"/>
          <w:szCs w:val="16"/>
        </w:rPr>
        <w:footnoteRef/>
      </w:r>
      <w:r w:rsidRPr="005149A0">
        <w:rPr>
          <w:sz w:val="16"/>
          <w:szCs w:val="16"/>
        </w:rPr>
        <w:t xml:space="preserve"> § </w:t>
      </w:r>
      <w:r>
        <w:rPr>
          <w:sz w:val="16"/>
          <w:szCs w:val="16"/>
        </w:rPr>
        <w:t>6</w:t>
      </w:r>
      <w:r w:rsidR="00E049BA">
        <w:rPr>
          <w:sz w:val="16"/>
          <w:szCs w:val="16"/>
        </w:rPr>
        <w:t>4</w:t>
      </w:r>
      <w:r w:rsidRPr="005149A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 násl. </w:t>
      </w:r>
      <w:r w:rsidRPr="005149A0">
        <w:rPr>
          <w:sz w:val="16"/>
          <w:szCs w:val="16"/>
        </w:rPr>
        <w:t>zákona č. 186/2016 Sb., o hazardních hrách.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8FCD" w14:textId="77777777" w:rsidR="00E018AE" w:rsidRPr="00E018AE" w:rsidRDefault="00E018AE">
    <w:pPr>
      <w:pStyle w:val="Zhlav"/>
      <w:rPr>
        <w:i/>
        <w:iCs/>
      </w:rPr>
    </w:pPr>
    <w:r w:rsidRPr="00E018AE">
      <w:rPr>
        <w:i/>
        <w:iCs/>
      </w:rPr>
      <w:t>Návrh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AAA"/>
    <w:multiLevelType w:val="hybridMultilevel"/>
    <w:tmpl w:val="BD90C1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57458"/>
    <w:multiLevelType w:val="hybridMultilevel"/>
    <w:tmpl w:val="E5D6D04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745DB"/>
    <w:multiLevelType w:val="hybridMultilevel"/>
    <w:tmpl w:val="552A9730"/>
    <w:lvl w:ilvl="0" w:tplc="F49E10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122B4"/>
    <w:multiLevelType w:val="hybridMultilevel"/>
    <w:tmpl w:val="A308F5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A0059"/>
    <w:multiLevelType w:val="multilevel"/>
    <w:tmpl w:val="9E94F9D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C678CB"/>
    <w:multiLevelType w:val="hybridMultilevel"/>
    <w:tmpl w:val="A58EC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C0675"/>
    <w:multiLevelType w:val="multilevel"/>
    <w:tmpl w:val="B7246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10F83"/>
    <w:multiLevelType w:val="hybridMultilevel"/>
    <w:tmpl w:val="A92EFB88"/>
    <w:lvl w:ilvl="0" w:tplc="2F3EA81C">
      <w:start w:val="3"/>
      <w:numFmt w:val="decimal"/>
      <w:lvlText w:val="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8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B7BFB"/>
    <w:multiLevelType w:val="multilevel"/>
    <w:tmpl w:val="FF7AA82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05424"/>
    <w:multiLevelType w:val="hybridMultilevel"/>
    <w:tmpl w:val="93EAF7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A63A2D"/>
    <w:multiLevelType w:val="hybridMultilevel"/>
    <w:tmpl w:val="5874C156"/>
    <w:lvl w:ilvl="0" w:tplc="ACFA8242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B1D07"/>
    <w:multiLevelType w:val="hybridMultilevel"/>
    <w:tmpl w:val="5608F4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580422"/>
    <w:multiLevelType w:val="hybridMultilevel"/>
    <w:tmpl w:val="680AB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E1BD8"/>
    <w:multiLevelType w:val="hybridMultilevel"/>
    <w:tmpl w:val="C47EAF72"/>
    <w:lvl w:ilvl="0" w:tplc="38686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D0FAF"/>
    <w:multiLevelType w:val="multilevel"/>
    <w:tmpl w:val="571E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E42D3"/>
    <w:multiLevelType w:val="hybridMultilevel"/>
    <w:tmpl w:val="C876FA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EA78A6"/>
    <w:multiLevelType w:val="hybridMultilevel"/>
    <w:tmpl w:val="B700EDD2"/>
    <w:lvl w:ilvl="0" w:tplc="EDE07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434F4"/>
    <w:multiLevelType w:val="hybridMultilevel"/>
    <w:tmpl w:val="4E2EAC6A"/>
    <w:lvl w:ilvl="0" w:tplc="08109E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846726"/>
    <w:multiLevelType w:val="multilevel"/>
    <w:tmpl w:val="3480A0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C103E7"/>
    <w:multiLevelType w:val="hybridMultilevel"/>
    <w:tmpl w:val="403469FC"/>
    <w:lvl w:ilvl="0" w:tplc="7A3CD9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B0E7E"/>
    <w:multiLevelType w:val="hybridMultilevel"/>
    <w:tmpl w:val="B7246B7E"/>
    <w:lvl w:ilvl="0" w:tplc="C2364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CF3EC0"/>
    <w:multiLevelType w:val="hybridMultilevel"/>
    <w:tmpl w:val="3480A058"/>
    <w:lvl w:ilvl="0" w:tplc="312E15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23610F"/>
    <w:multiLevelType w:val="hybridMultilevel"/>
    <w:tmpl w:val="BBEE3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A7DAF"/>
    <w:multiLevelType w:val="hybridMultilevel"/>
    <w:tmpl w:val="D2802F06"/>
    <w:lvl w:ilvl="0" w:tplc="EAD0B17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6465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274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754845">
    <w:abstractNumId w:val="7"/>
  </w:num>
  <w:num w:numId="4" w16cid:durableId="2007393090">
    <w:abstractNumId w:val="0"/>
  </w:num>
  <w:num w:numId="5" w16cid:durableId="897865332">
    <w:abstractNumId w:val="21"/>
  </w:num>
  <w:num w:numId="6" w16cid:durableId="1470047689">
    <w:abstractNumId w:val="15"/>
  </w:num>
  <w:num w:numId="7" w16cid:durableId="922371807">
    <w:abstractNumId w:val="6"/>
  </w:num>
  <w:num w:numId="8" w16cid:durableId="600455964">
    <w:abstractNumId w:val="22"/>
  </w:num>
  <w:num w:numId="9" w16cid:durableId="1684088067">
    <w:abstractNumId w:val="19"/>
  </w:num>
  <w:num w:numId="10" w16cid:durableId="222954765">
    <w:abstractNumId w:val="18"/>
  </w:num>
  <w:num w:numId="11" w16cid:durableId="1997151803">
    <w:abstractNumId w:val="17"/>
  </w:num>
  <w:num w:numId="12" w16cid:durableId="2106076626">
    <w:abstractNumId w:val="12"/>
  </w:num>
  <w:num w:numId="13" w16cid:durableId="325013155">
    <w:abstractNumId w:val="3"/>
  </w:num>
  <w:num w:numId="14" w16cid:durableId="234894754">
    <w:abstractNumId w:val="16"/>
  </w:num>
  <w:num w:numId="15" w16cid:durableId="1225143168">
    <w:abstractNumId w:val="10"/>
  </w:num>
  <w:num w:numId="16" w16cid:durableId="1729650327">
    <w:abstractNumId w:val="2"/>
  </w:num>
  <w:num w:numId="17" w16cid:durableId="2139715928">
    <w:abstractNumId w:val="20"/>
  </w:num>
  <w:num w:numId="18" w16cid:durableId="1794976388">
    <w:abstractNumId w:val="4"/>
  </w:num>
  <w:num w:numId="19" w16cid:durableId="1306161101">
    <w:abstractNumId w:val="9"/>
  </w:num>
  <w:num w:numId="20" w16cid:durableId="1737240212">
    <w:abstractNumId w:val="11"/>
  </w:num>
  <w:num w:numId="21" w16cid:durableId="231429621">
    <w:abstractNumId w:val="13"/>
  </w:num>
  <w:num w:numId="22" w16cid:durableId="1515997005">
    <w:abstractNumId w:val="23"/>
  </w:num>
  <w:num w:numId="23" w16cid:durableId="424497066">
    <w:abstractNumId w:val="5"/>
  </w:num>
  <w:num w:numId="24" w16cid:durableId="2119566185">
    <w:abstractNumId w:val="24"/>
  </w:num>
  <w:num w:numId="25" w16cid:durableId="170729646">
    <w:abstractNumId w:val="14"/>
  </w:num>
  <w:num w:numId="26" w16cid:durableId="1558204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CE"/>
    <w:rsid w:val="00000D8C"/>
    <w:rsid w:val="00014296"/>
    <w:rsid w:val="0001436C"/>
    <w:rsid w:val="00035A03"/>
    <w:rsid w:val="000440FB"/>
    <w:rsid w:val="00056F5A"/>
    <w:rsid w:val="0006069E"/>
    <w:rsid w:val="00072C98"/>
    <w:rsid w:val="00077E34"/>
    <w:rsid w:val="00083904"/>
    <w:rsid w:val="000E2204"/>
    <w:rsid w:val="000E6468"/>
    <w:rsid w:val="000F1114"/>
    <w:rsid w:val="000F3FDE"/>
    <w:rsid w:val="000F539B"/>
    <w:rsid w:val="000F681D"/>
    <w:rsid w:val="0010365A"/>
    <w:rsid w:val="00107143"/>
    <w:rsid w:val="0010798B"/>
    <w:rsid w:val="00107CA7"/>
    <w:rsid w:val="00127D5C"/>
    <w:rsid w:val="001566A2"/>
    <w:rsid w:val="0016188B"/>
    <w:rsid w:val="0017055F"/>
    <w:rsid w:val="00174126"/>
    <w:rsid w:val="00184500"/>
    <w:rsid w:val="00184FD3"/>
    <w:rsid w:val="00186021"/>
    <w:rsid w:val="0018664D"/>
    <w:rsid w:val="001A33BD"/>
    <w:rsid w:val="001D7C3E"/>
    <w:rsid w:val="0020146D"/>
    <w:rsid w:val="00212455"/>
    <w:rsid w:val="0021406A"/>
    <w:rsid w:val="002207AE"/>
    <w:rsid w:val="00226179"/>
    <w:rsid w:val="0022656C"/>
    <w:rsid w:val="0023195D"/>
    <w:rsid w:val="0023562B"/>
    <w:rsid w:val="0025570A"/>
    <w:rsid w:val="00270B1F"/>
    <w:rsid w:val="0028211A"/>
    <w:rsid w:val="002821C2"/>
    <w:rsid w:val="002928D6"/>
    <w:rsid w:val="002933CE"/>
    <w:rsid w:val="002C2A70"/>
    <w:rsid w:val="002D650B"/>
    <w:rsid w:val="002E4082"/>
    <w:rsid w:val="002F304B"/>
    <w:rsid w:val="003104DA"/>
    <w:rsid w:val="0034140B"/>
    <w:rsid w:val="00352937"/>
    <w:rsid w:val="003553B1"/>
    <w:rsid w:val="0037621D"/>
    <w:rsid w:val="003A070E"/>
    <w:rsid w:val="003B31AC"/>
    <w:rsid w:val="003B5B3C"/>
    <w:rsid w:val="003B6933"/>
    <w:rsid w:val="003D1ABE"/>
    <w:rsid w:val="003D2079"/>
    <w:rsid w:val="003D4910"/>
    <w:rsid w:val="003E2DD0"/>
    <w:rsid w:val="00410B95"/>
    <w:rsid w:val="00425899"/>
    <w:rsid w:val="004433AB"/>
    <w:rsid w:val="00443FE6"/>
    <w:rsid w:val="004619C9"/>
    <w:rsid w:val="0046457F"/>
    <w:rsid w:val="0046741E"/>
    <w:rsid w:val="0047007E"/>
    <w:rsid w:val="004919C4"/>
    <w:rsid w:val="004B0A24"/>
    <w:rsid w:val="004B11EE"/>
    <w:rsid w:val="004D33AC"/>
    <w:rsid w:val="004D5831"/>
    <w:rsid w:val="00501987"/>
    <w:rsid w:val="0050668A"/>
    <w:rsid w:val="005149A0"/>
    <w:rsid w:val="00515C95"/>
    <w:rsid w:val="005368AE"/>
    <w:rsid w:val="00547211"/>
    <w:rsid w:val="005645FC"/>
    <w:rsid w:val="00566797"/>
    <w:rsid w:val="00593AD8"/>
    <w:rsid w:val="00594E37"/>
    <w:rsid w:val="00594F42"/>
    <w:rsid w:val="005A0ECE"/>
    <w:rsid w:val="005A722E"/>
    <w:rsid w:val="005D1C88"/>
    <w:rsid w:val="005E20BB"/>
    <w:rsid w:val="005F3009"/>
    <w:rsid w:val="005F40DB"/>
    <w:rsid w:val="00600286"/>
    <w:rsid w:val="00602D88"/>
    <w:rsid w:val="00621CF9"/>
    <w:rsid w:val="00637A28"/>
    <w:rsid w:val="00637DF1"/>
    <w:rsid w:val="00640774"/>
    <w:rsid w:val="00644296"/>
    <w:rsid w:val="00644CFD"/>
    <w:rsid w:val="00681276"/>
    <w:rsid w:val="0068509A"/>
    <w:rsid w:val="00685B98"/>
    <w:rsid w:val="00687F79"/>
    <w:rsid w:val="006B29F7"/>
    <w:rsid w:val="006B6500"/>
    <w:rsid w:val="006E70D2"/>
    <w:rsid w:val="007020EB"/>
    <w:rsid w:val="0070292A"/>
    <w:rsid w:val="007115B0"/>
    <w:rsid w:val="007204F4"/>
    <w:rsid w:val="007247FE"/>
    <w:rsid w:val="00737702"/>
    <w:rsid w:val="00745637"/>
    <w:rsid w:val="00745FF3"/>
    <w:rsid w:val="0076018C"/>
    <w:rsid w:val="00762640"/>
    <w:rsid w:val="00764C45"/>
    <w:rsid w:val="00770C1B"/>
    <w:rsid w:val="00772F3E"/>
    <w:rsid w:val="00777775"/>
    <w:rsid w:val="007B5D11"/>
    <w:rsid w:val="007C1E3D"/>
    <w:rsid w:val="007C42CA"/>
    <w:rsid w:val="007C48E9"/>
    <w:rsid w:val="007D28EC"/>
    <w:rsid w:val="007E31CD"/>
    <w:rsid w:val="007E454B"/>
    <w:rsid w:val="007F07B8"/>
    <w:rsid w:val="007F11EB"/>
    <w:rsid w:val="00821AC0"/>
    <w:rsid w:val="008314F5"/>
    <w:rsid w:val="00843A1F"/>
    <w:rsid w:val="00845278"/>
    <w:rsid w:val="0084752E"/>
    <w:rsid w:val="008548D8"/>
    <w:rsid w:val="0085539A"/>
    <w:rsid w:val="0087335D"/>
    <w:rsid w:val="0088073B"/>
    <w:rsid w:val="00895FE8"/>
    <w:rsid w:val="008B1C24"/>
    <w:rsid w:val="008C7FF1"/>
    <w:rsid w:val="008D541A"/>
    <w:rsid w:val="00944735"/>
    <w:rsid w:val="00964CE8"/>
    <w:rsid w:val="00973670"/>
    <w:rsid w:val="00982F47"/>
    <w:rsid w:val="00984C2D"/>
    <w:rsid w:val="00997C0F"/>
    <w:rsid w:val="009C2E78"/>
    <w:rsid w:val="009C3D4A"/>
    <w:rsid w:val="009D4E4D"/>
    <w:rsid w:val="009E6DB1"/>
    <w:rsid w:val="009F22BE"/>
    <w:rsid w:val="00A31E01"/>
    <w:rsid w:val="00A46399"/>
    <w:rsid w:val="00A51AF6"/>
    <w:rsid w:val="00A61B59"/>
    <w:rsid w:val="00A82796"/>
    <w:rsid w:val="00A86E16"/>
    <w:rsid w:val="00A9021A"/>
    <w:rsid w:val="00A939F1"/>
    <w:rsid w:val="00AA285A"/>
    <w:rsid w:val="00AB1335"/>
    <w:rsid w:val="00AD484D"/>
    <w:rsid w:val="00B11485"/>
    <w:rsid w:val="00B24CDF"/>
    <w:rsid w:val="00B2695C"/>
    <w:rsid w:val="00B31361"/>
    <w:rsid w:val="00B33D60"/>
    <w:rsid w:val="00B57642"/>
    <w:rsid w:val="00B60493"/>
    <w:rsid w:val="00BB27E3"/>
    <w:rsid w:val="00BB3465"/>
    <w:rsid w:val="00BB3D72"/>
    <w:rsid w:val="00BC7B33"/>
    <w:rsid w:val="00BD3473"/>
    <w:rsid w:val="00BD4FE0"/>
    <w:rsid w:val="00BF0A2A"/>
    <w:rsid w:val="00BF220F"/>
    <w:rsid w:val="00BF7A13"/>
    <w:rsid w:val="00C04F4B"/>
    <w:rsid w:val="00C123EB"/>
    <w:rsid w:val="00C3402C"/>
    <w:rsid w:val="00C46AD4"/>
    <w:rsid w:val="00C56506"/>
    <w:rsid w:val="00C754B0"/>
    <w:rsid w:val="00C928F5"/>
    <w:rsid w:val="00C95DAE"/>
    <w:rsid w:val="00CB1A9E"/>
    <w:rsid w:val="00CB7F1D"/>
    <w:rsid w:val="00CC52A7"/>
    <w:rsid w:val="00CC6A97"/>
    <w:rsid w:val="00CD2DF1"/>
    <w:rsid w:val="00CD3830"/>
    <w:rsid w:val="00CF4B3F"/>
    <w:rsid w:val="00D075A9"/>
    <w:rsid w:val="00D20855"/>
    <w:rsid w:val="00D71D43"/>
    <w:rsid w:val="00D90DC5"/>
    <w:rsid w:val="00D96C98"/>
    <w:rsid w:val="00DA0EDE"/>
    <w:rsid w:val="00DA74CB"/>
    <w:rsid w:val="00DC722B"/>
    <w:rsid w:val="00DD720F"/>
    <w:rsid w:val="00DF03E8"/>
    <w:rsid w:val="00DF6972"/>
    <w:rsid w:val="00E018AE"/>
    <w:rsid w:val="00E049BA"/>
    <w:rsid w:val="00E31852"/>
    <w:rsid w:val="00E3277A"/>
    <w:rsid w:val="00E34196"/>
    <w:rsid w:val="00EC3F87"/>
    <w:rsid w:val="00EC4B14"/>
    <w:rsid w:val="00ED3E8E"/>
    <w:rsid w:val="00EE133C"/>
    <w:rsid w:val="00EE5E6E"/>
    <w:rsid w:val="00F16F30"/>
    <w:rsid w:val="00F2298B"/>
    <w:rsid w:val="00F272AC"/>
    <w:rsid w:val="00F4645B"/>
    <w:rsid w:val="00F46BD6"/>
    <w:rsid w:val="00F70CDB"/>
    <w:rsid w:val="00F75402"/>
    <w:rsid w:val="00F76C28"/>
    <w:rsid w:val="00F8162E"/>
    <w:rsid w:val="00F87159"/>
    <w:rsid w:val="00F92436"/>
    <w:rsid w:val="00FA6A31"/>
    <w:rsid w:val="00FC1516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C22F51"/>
  <w15:chartTrackingRefBased/>
  <w15:docId w15:val="{31632C7F-15BE-455B-B1EA-AFBD55BC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33CE"/>
    <w:rPr>
      <w:sz w:val="24"/>
      <w:szCs w:val="24"/>
    </w:rPr>
  </w:style>
  <w:style w:type="paragraph" w:styleId="Nadpis1">
    <w:name w:val="heading 1"/>
    <w:basedOn w:val="Normln"/>
    <w:next w:val="Normln"/>
    <w:qFormat/>
    <w:rsid w:val="00D20855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D20855"/>
    <w:pPr>
      <w:keepNext/>
      <w:jc w:val="center"/>
      <w:outlineLvl w:val="1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D20855"/>
    <w:pPr>
      <w:keepNext/>
      <w:jc w:val="center"/>
      <w:outlineLvl w:val="4"/>
    </w:pPr>
    <w:rPr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2933CE"/>
    <w:pPr>
      <w:widowControl w:val="0"/>
      <w:autoSpaceDE w:val="0"/>
      <w:autoSpaceDN w:val="0"/>
      <w:adjustRightInd w:val="0"/>
      <w:ind w:right="49"/>
      <w:jc w:val="both"/>
    </w:pPr>
    <w:rPr>
      <w:i/>
      <w:iCs/>
    </w:rPr>
  </w:style>
  <w:style w:type="paragraph" w:styleId="Zkladntext">
    <w:name w:val="Body Text"/>
    <w:basedOn w:val="Normln"/>
    <w:link w:val="ZkladntextChar"/>
    <w:rsid w:val="00D20855"/>
    <w:pPr>
      <w:spacing w:after="120"/>
    </w:pPr>
  </w:style>
  <w:style w:type="paragraph" w:styleId="Zkladntext2">
    <w:name w:val="Body Text 2"/>
    <w:basedOn w:val="Normln"/>
    <w:rsid w:val="00D20855"/>
    <w:pPr>
      <w:spacing w:after="120" w:line="480" w:lineRule="auto"/>
    </w:pPr>
  </w:style>
  <w:style w:type="paragraph" w:styleId="Zkladntextodsazen">
    <w:name w:val="Body Text Indent"/>
    <w:basedOn w:val="Normln"/>
    <w:rsid w:val="00D20855"/>
    <w:pPr>
      <w:spacing w:after="120"/>
      <w:ind w:left="283"/>
    </w:pPr>
  </w:style>
  <w:style w:type="paragraph" w:styleId="Zkladntextodsazen2">
    <w:name w:val="Body Text Indent 2"/>
    <w:basedOn w:val="Normln"/>
    <w:rsid w:val="00D20855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D20855"/>
    <w:pPr>
      <w:spacing w:after="120"/>
      <w:ind w:left="283"/>
    </w:pPr>
    <w:rPr>
      <w:sz w:val="16"/>
      <w:szCs w:val="16"/>
    </w:rPr>
  </w:style>
  <w:style w:type="paragraph" w:styleId="Nzev">
    <w:name w:val="Title"/>
    <w:basedOn w:val="Normln"/>
    <w:qFormat/>
    <w:rsid w:val="00D20855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4B0A2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B11485"/>
    <w:rPr>
      <w:sz w:val="20"/>
      <w:szCs w:val="20"/>
    </w:rPr>
  </w:style>
  <w:style w:type="character" w:styleId="Znakapoznpodarou">
    <w:name w:val="footnote reference"/>
    <w:semiHidden/>
    <w:rsid w:val="00B11485"/>
    <w:rPr>
      <w:vertAlign w:val="superscript"/>
    </w:rPr>
  </w:style>
  <w:style w:type="paragraph" w:styleId="Zhlav">
    <w:name w:val="header"/>
    <w:basedOn w:val="Normln"/>
    <w:link w:val="ZhlavChar"/>
    <w:rsid w:val="00443F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3FE6"/>
    <w:rPr>
      <w:sz w:val="24"/>
      <w:szCs w:val="24"/>
    </w:rPr>
  </w:style>
  <w:style w:type="paragraph" w:styleId="Zpat">
    <w:name w:val="footer"/>
    <w:basedOn w:val="Normln"/>
    <w:link w:val="ZpatChar"/>
    <w:rsid w:val="00443FE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43FE6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D71D43"/>
  </w:style>
  <w:style w:type="table" w:styleId="Mkatabulky">
    <w:name w:val="Table Grid"/>
    <w:basedOn w:val="Normlntabulka"/>
    <w:rsid w:val="00D71D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2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rsid w:val="00600286"/>
    <w:rPr>
      <w:sz w:val="24"/>
      <w:szCs w:val="24"/>
    </w:rPr>
  </w:style>
  <w:style w:type="paragraph" w:customStyle="1" w:styleId="left-ind">
    <w:name w:val="left-ind"/>
    <w:basedOn w:val="Normln"/>
    <w:rsid w:val="00973670"/>
    <w:pPr>
      <w:spacing w:before="100" w:beforeAutospacing="1" w:after="100" w:afterAutospacing="1"/>
    </w:pPr>
  </w:style>
  <w:style w:type="character" w:customStyle="1" w:styleId="footnote">
    <w:name w:val="footnote"/>
    <w:basedOn w:val="Standardnpsmoodstavce"/>
    <w:rsid w:val="00973670"/>
  </w:style>
  <w:style w:type="character" w:styleId="Hypertextovodkaz">
    <w:name w:val="Hyperlink"/>
    <w:uiPriority w:val="99"/>
    <w:unhideWhenUsed/>
    <w:rsid w:val="00973670"/>
    <w:rPr>
      <w:color w:val="0000FF"/>
      <w:u w:val="single"/>
    </w:rPr>
  </w:style>
  <w:style w:type="paragraph" w:customStyle="1" w:styleId="p2">
    <w:name w:val="p2"/>
    <w:basedOn w:val="Normln"/>
    <w:rsid w:val="00973670"/>
    <w:pPr>
      <w:spacing w:before="100" w:beforeAutospacing="1" w:after="100" w:afterAutospacing="1"/>
    </w:pPr>
  </w:style>
  <w:style w:type="character" w:styleId="Odkaznakoment">
    <w:name w:val="annotation reference"/>
    <w:rsid w:val="00644C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4C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4CFD"/>
  </w:style>
  <w:style w:type="paragraph" w:styleId="Pedmtkomente">
    <w:name w:val="annotation subject"/>
    <w:basedOn w:val="Textkomente"/>
    <w:next w:val="Textkomente"/>
    <w:link w:val="PedmtkomenteChar"/>
    <w:rsid w:val="00644CFD"/>
    <w:rPr>
      <w:b/>
      <w:bCs/>
    </w:rPr>
  </w:style>
  <w:style w:type="character" w:customStyle="1" w:styleId="PedmtkomenteChar">
    <w:name w:val="Předmět komentáře Char"/>
    <w:link w:val="Pedmtkomente"/>
    <w:rsid w:val="00644CFD"/>
    <w:rPr>
      <w:b/>
      <w:bCs/>
    </w:rPr>
  </w:style>
  <w:style w:type="paragraph" w:customStyle="1" w:styleId="Pa5">
    <w:name w:val="Pa5"/>
    <w:basedOn w:val="Default"/>
    <w:next w:val="Default"/>
    <w:uiPriority w:val="99"/>
    <w:rsid w:val="00035A03"/>
    <w:pPr>
      <w:spacing w:line="201" w:lineRule="atLeast"/>
    </w:pPr>
    <w:rPr>
      <w:rFonts w:ascii="Myriad Pro" w:eastAsia="Times New Roman" w:hAnsi="Myriad Pro"/>
      <w:color w:val="auto"/>
      <w:lang w:eastAsia="cs-CZ"/>
    </w:rPr>
  </w:style>
  <w:style w:type="paragraph" w:customStyle="1" w:styleId="Pa85">
    <w:name w:val="Pa85"/>
    <w:basedOn w:val="Default"/>
    <w:next w:val="Default"/>
    <w:uiPriority w:val="99"/>
    <w:rsid w:val="00035A03"/>
    <w:pPr>
      <w:spacing w:line="201" w:lineRule="atLeast"/>
    </w:pPr>
    <w:rPr>
      <w:rFonts w:ascii="Myriad Pro" w:eastAsia="Times New Roman" w:hAnsi="Myriad Pro"/>
      <w:color w:val="auto"/>
      <w:lang w:eastAsia="cs-CZ"/>
    </w:rPr>
  </w:style>
  <w:style w:type="paragraph" w:customStyle="1" w:styleId="Pa86">
    <w:name w:val="Pa86"/>
    <w:basedOn w:val="Default"/>
    <w:next w:val="Default"/>
    <w:uiPriority w:val="99"/>
    <w:rsid w:val="00035A03"/>
    <w:pPr>
      <w:spacing w:line="201" w:lineRule="atLeast"/>
    </w:pPr>
    <w:rPr>
      <w:rFonts w:ascii="Myriad Pro" w:eastAsia="Times New Roman" w:hAnsi="Myriad Pro"/>
      <w:color w:val="auto"/>
      <w:lang w:eastAsia="cs-CZ"/>
    </w:rPr>
  </w:style>
  <w:style w:type="paragraph" w:customStyle="1" w:styleId="Pa83">
    <w:name w:val="Pa83"/>
    <w:basedOn w:val="Default"/>
    <w:next w:val="Default"/>
    <w:uiPriority w:val="99"/>
    <w:rsid w:val="00944735"/>
    <w:pPr>
      <w:spacing w:line="201" w:lineRule="atLeast"/>
    </w:pPr>
    <w:rPr>
      <w:rFonts w:ascii="Myriad Pro" w:eastAsia="Times New Roman" w:hAnsi="Myriad Pro"/>
      <w:color w:val="auto"/>
      <w:lang w:eastAsia="cs-CZ"/>
    </w:rPr>
  </w:style>
  <w:style w:type="paragraph" w:customStyle="1" w:styleId="Pa84">
    <w:name w:val="Pa84"/>
    <w:basedOn w:val="Default"/>
    <w:next w:val="Default"/>
    <w:uiPriority w:val="99"/>
    <w:rsid w:val="00944735"/>
    <w:pPr>
      <w:spacing w:line="201" w:lineRule="atLeast"/>
    </w:pPr>
    <w:rPr>
      <w:rFonts w:ascii="Myriad Pro" w:eastAsia="Times New Roman" w:hAnsi="Myriad Pro"/>
      <w:color w:val="auto"/>
      <w:lang w:eastAsia="cs-CZ"/>
    </w:rPr>
  </w:style>
  <w:style w:type="paragraph" w:customStyle="1" w:styleId="Pa87">
    <w:name w:val="Pa87"/>
    <w:basedOn w:val="Default"/>
    <w:next w:val="Default"/>
    <w:uiPriority w:val="99"/>
    <w:rsid w:val="00944735"/>
    <w:pPr>
      <w:spacing w:line="221" w:lineRule="atLeast"/>
    </w:pPr>
    <w:rPr>
      <w:rFonts w:ascii="Myriad Pro" w:eastAsia="Times New Roman" w:hAnsi="Myriad Pro"/>
      <w:color w:val="auto"/>
      <w:lang w:eastAsia="cs-CZ"/>
    </w:rPr>
  </w:style>
  <w:style w:type="character" w:customStyle="1" w:styleId="A1">
    <w:name w:val="A1"/>
    <w:uiPriority w:val="99"/>
    <w:rsid w:val="00944735"/>
    <w:rPr>
      <w:rFonts w:cs="Myriad Pro"/>
      <w:color w:val="000000"/>
    </w:rPr>
  </w:style>
  <w:style w:type="paragraph" w:customStyle="1" w:styleId="Pa88">
    <w:name w:val="Pa88"/>
    <w:basedOn w:val="Default"/>
    <w:next w:val="Default"/>
    <w:uiPriority w:val="99"/>
    <w:rsid w:val="00944735"/>
    <w:pPr>
      <w:spacing w:line="221" w:lineRule="atLeast"/>
    </w:pPr>
    <w:rPr>
      <w:rFonts w:ascii="Myriad Pro" w:eastAsia="Times New Roman" w:hAnsi="Myriad Pro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464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5" ma:contentTypeDescription="Vytvoří nový dokument" ma:contentTypeScope="" ma:versionID="edd587a37a9350bf317dfc69c787c24d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7f1c52f7672930c10f319eec5ca4da9f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8bfc966-00d2-43d2-b3cd-0b88c1034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4194ef-4067-4d18-bde7-cb9bda469666}" ma:internalName="TaxCatchAll" ma:showField="CatchAllData" ma:web="2f76300c-9ebc-4c94-99b0-7f8aee93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76300c-9ebc-4c94-99b0-7f8aee93ef30"/>
    <lcf76f155ced4ddcb4097134ff3c332f xmlns="f46fac03-2388-406f-9c38-73b68fdc13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89A69-0708-4201-8147-F566DEBE9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4E949-D962-43E8-8B50-8B8D65E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C6AF4-CC83-4098-9D98-CB4AC9859F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4E71B5-FCA3-4C7A-9ADE-F4911B3AB5AB}">
  <ds:schemaRefs>
    <ds:schemaRef ds:uri="http://schemas.microsoft.com/office/2006/metadata/properties"/>
    <ds:schemaRef ds:uri="http://schemas.microsoft.com/office/infopath/2007/PartnerControls"/>
    <ds:schemaRef ds:uri="2f76300c-9ebc-4c94-99b0-7f8aee93ef30"/>
    <ds:schemaRef ds:uri="f46fac03-2388-406f-9c38-73b68fdc13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Svitavy č</vt:lpstr>
    </vt:vector>
  </TitlesOfParts>
  <Company>MěÚ Svitavy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Svitavy č</dc:title>
  <dc:subject/>
  <dc:creator>svobodil</dc:creator>
  <cp:keywords/>
  <cp:lastModifiedBy>Jana Blailová</cp:lastModifiedBy>
  <cp:revision>3</cp:revision>
  <cp:lastPrinted>2023-09-26T07:01:00Z</cp:lastPrinted>
  <dcterms:created xsi:type="dcterms:W3CDTF">2023-10-18T17:44:00Z</dcterms:created>
  <dcterms:modified xsi:type="dcterms:W3CDTF">2023-10-18T17:45:00Z</dcterms:modified>
</cp:coreProperties>
</file>