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jc w:val="center"/>
        <w:ind w:left="20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8"/>
          <w:szCs w:val="28"/>
          <w:b w:val="1"/>
          <w:bCs w:val="1"/>
          <w:color w:val="auto"/>
        </w:rPr>
        <w:t>OBEC HRANICE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19685</wp:posOffset>
            </wp:positionH>
            <wp:positionV relativeFrom="paragraph">
              <wp:posOffset>-201930</wp:posOffset>
            </wp:positionV>
            <wp:extent cx="1153795" cy="138366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795" cy="1383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1" w:lineRule="exact"/>
        <w:rPr>
          <w:sz w:val="24"/>
          <w:szCs w:val="24"/>
          <w:color w:val="auto"/>
        </w:rPr>
      </w:pPr>
    </w:p>
    <w:p>
      <w:pPr>
        <w:jc w:val="center"/>
        <w:ind w:left="20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Zastupitelstvo obce Hranice</w:t>
      </w:r>
    </w:p>
    <w:p>
      <w:pPr>
        <w:spacing w:after="0" w:line="218" w:lineRule="exact"/>
        <w:rPr>
          <w:sz w:val="24"/>
          <w:szCs w:val="24"/>
          <w:color w:val="auto"/>
        </w:rPr>
      </w:pPr>
    </w:p>
    <w:p>
      <w:pPr>
        <w:jc w:val="center"/>
        <w:ind w:left="20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Dodatek</w:t>
      </w:r>
    </w:p>
    <w:p>
      <w:pPr>
        <w:spacing w:after="0" w:line="216" w:lineRule="exact"/>
        <w:rPr>
          <w:sz w:val="24"/>
          <w:szCs w:val="24"/>
          <w:color w:val="auto"/>
        </w:rPr>
      </w:pPr>
    </w:p>
    <w:p>
      <w:pPr>
        <w:jc w:val="center"/>
        <w:ind w:left="20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k Obecně závazné vyhlášce obce Hranice č. 1 / 2021,</w:t>
      </w:r>
    </w:p>
    <w:p>
      <w:pPr>
        <w:spacing w:after="0" w:line="216" w:lineRule="exact"/>
        <w:rPr>
          <w:sz w:val="24"/>
          <w:szCs w:val="24"/>
          <w:color w:val="auto"/>
        </w:rPr>
      </w:pPr>
    </w:p>
    <w:p>
      <w:pPr>
        <w:jc w:val="center"/>
        <w:ind w:left="20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b w:val="1"/>
          <w:bCs w:val="1"/>
          <w:color w:val="auto"/>
        </w:rPr>
        <w:t>o místním poplatku za obecní systém odpadového hospodářství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95" w:lineRule="exact"/>
        <w:rPr>
          <w:sz w:val="24"/>
          <w:szCs w:val="24"/>
          <w:color w:val="auto"/>
        </w:rPr>
      </w:pPr>
    </w:p>
    <w:p>
      <w:pPr>
        <w:jc w:val="both"/>
        <w:ind w:left="4"/>
        <w:spacing w:after="0" w:line="25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color w:val="auto"/>
        </w:rPr>
        <w:t>Zastupitelstvo obce Hranice se na svém zasedání dne 12. prosince 2022 usnesením č. 20/2022: 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tento dodatek obecně závazné vyhlášky.</w:t>
      </w:r>
    </w:p>
    <w:p>
      <w:pPr>
        <w:spacing w:after="0" w:line="178" w:lineRule="exact"/>
        <w:rPr>
          <w:sz w:val="24"/>
          <w:szCs w:val="24"/>
          <w:color w:val="auto"/>
        </w:rPr>
      </w:pPr>
    </w:p>
    <w:p>
      <w:pPr>
        <w:jc w:val="both"/>
        <w:ind w:left="4"/>
        <w:spacing w:after="0" w:line="271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color w:val="auto"/>
        </w:rPr>
        <w:t>Obecně závazná vyhláška č. 1 / 2021, o místním poplatku za obecní systém odpadového hospodářství se mění takto:</w:t>
      </w:r>
    </w:p>
    <w:p>
      <w:pPr>
        <w:spacing w:after="0" w:line="168" w:lineRule="exact"/>
        <w:rPr>
          <w:sz w:val="24"/>
          <w:szCs w:val="24"/>
          <w:color w:val="auto"/>
        </w:rPr>
      </w:pPr>
    </w:p>
    <w:p>
      <w:pPr>
        <w:jc w:val="center"/>
        <w:ind w:right="16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color w:val="auto"/>
        </w:rPr>
        <w:t>Čl. 5</w:t>
      </w:r>
    </w:p>
    <w:p>
      <w:pPr>
        <w:spacing w:after="0" w:line="215" w:lineRule="exact"/>
        <w:rPr>
          <w:sz w:val="24"/>
          <w:szCs w:val="24"/>
          <w:color w:val="auto"/>
        </w:rPr>
      </w:pPr>
    </w:p>
    <w:p>
      <w:pPr>
        <w:jc w:val="center"/>
        <w:ind w:right="16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color w:val="auto"/>
        </w:rPr>
        <w:t>Sazba poplatku</w:t>
      </w:r>
    </w:p>
    <w:p>
      <w:pPr>
        <w:spacing w:after="0" w:line="215" w:lineRule="exact"/>
        <w:rPr>
          <w:sz w:val="24"/>
          <w:szCs w:val="24"/>
          <w:color w:val="auto"/>
        </w:rPr>
      </w:pPr>
    </w:p>
    <w:p>
      <w:pPr>
        <w:ind w:left="4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color w:val="auto"/>
        </w:rPr>
        <w:t>(1) Sazba poplatku činí 500,- Kč.</w:t>
      </w:r>
    </w:p>
    <w:p>
      <w:pPr>
        <w:spacing w:after="0" w:line="217" w:lineRule="exact"/>
        <w:rPr>
          <w:sz w:val="24"/>
          <w:szCs w:val="24"/>
          <w:color w:val="auto"/>
        </w:rPr>
      </w:pPr>
    </w:p>
    <w:p>
      <w:pPr>
        <w:jc w:val="center"/>
        <w:ind w:right="16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color w:val="auto"/>
        </w:rPr>
        <w:t>Čl. 7</w:t>
      </w:r>
    </w:p>
    <w:p>
      <w:pPr>
        <w:spacing w:after="0" w:line="215" w:lineRule="exact"/>
        <w:rPr>
          <w:sz w:val="24"/>
          <w:szCs w:val="24"/>
          <w:color w:val="auto"/>
        </w:rPr>
      </w:pPr>
    </w:p>
    <w:p>
      <w:pPr>
        <w:jc w:val="center"/>
        <w:ind w:right="16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color w:val="auto"/>
        </w:rPr>
        <w:t>Osvobození a úlevy</w:t>
      </w:r>
    </w:p>
    <w:p>
      <w:pPr>
        <w:spacing w:after="0" w:line="215" w:lineRule="exact"/>
        <w:rPr>
          <w:sz w:val="24"/>
          <w:szCs w:val="24"/>
          <w:color w:val="auto"/>
        </w:rPr>
      </w:pPr>
    </w:p>
    <w:p>
      <w:pPr>
        <w:ind w:left="304" w:hanging="304"/>
        <w:spacing w:after="0"/>
        <w:tabs>
          <w:tab w:leader="none" w:pos="304" w:val="left"/>
        </w:tabs>
        <w:numPr>
          <w:ilvl w:val="0"/>
          <w:numId w:val="1"/>
        </w:numPr>
        <w:rPr>
          <w:rFonts w:ascii="Arial" w:cs="Arial" w:eastAsia="Arial" w:hAnsi="Arial"/>
          <w:sz w:val="22"/>
          <w:szCs w:val="22"/>
          <w:b w:val="1"/>
          <w:bCs w:val="1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color w:val="auto"/>
        </w:rPr>
        <w:t>Úleva se poskytuje:</w:t>
      </w:r>
    </w:p>
    <w:p>
      <w:pPr>
        <w:spacing w:after="0" w:line="212" w:lineRule="exact"/>
        <w:rPr>
          <w:rFonts w:ascii="Arial" w:cs="Arial" w:eastAsia="Arial" w:hAnsi="Arial"/>
          <w:sz w:val="22"/>
          <w:szCs w:val="22"/>
          <w:b w:val="1"/>
          <w:bCs w:val="1"/>
          <w:color w:val="auto"/>
        </w:rPr>
      </w:pPr>
    </w:p>
    <w:p>
      <w:pPr>
        <w:ind w:left="704" w:firstLine="5"/>
        <w:spacing w:after="0" w:line="322" w:lineRule="auto"/>
        <w:tabs>
          <w:tab w:leader="none" w:pos="989" w:val="left"/>
        </w:tabs>
        <w:numPr>
          <w:ilvl w:val="1"/>
          <w:numId w:val="1"/>
        </w:numPr>
        <w:rPr>
          <w:rFonts w:ascii="Arial" w:cs="Arial" w:eastAsia="Arial" w:hAnsi="Arial"/>
          <w:sz w:val="20"/>
          <w:szCs w:val="20"/>
          <w:b w:val="1"/>
          <w:bCs w:val="1"/>
          <w:color w:val="auto"/>
        </w:rPr>
      </w:pPr>
      <w:r>
        <w:rPr>
          <w:rFonts w:ascii="Arial" w:cs="Arial" w:eastAsia="Arial" w:hAnsi="Arial"/>
          <w:sz w:val="20"/>
          <w:szCs w:val="20"/>
          <w:b w:val="1"/>
          <w:bCs w:val="1"/>
          <w:color w:val="auto"/>
        </w:rPr>
        <w:t>poplatníkům v částech obce, kde se neprovádí svoz komunálního odpadu z důvodu nepřístupnosti svozové techniky, dle článku 2.,odst.1 písm. a) ve výši 250,- Kč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92" w:lineRule="exact"/>
        <w:rPr>
          <w:sz w:val="24"/>
          <w:szCs w:val="24"/>
          <w:color w:val="auto"/>
        </w:rPr>
      </w:pPr>
    </w:p>
    <w:p>
      <w:pPr>
        <w:ind w:left="4244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color w:val="auto"/>
        </w:rPr>
        <w:t>Čl. 14</w:t>
      </w:r>
    </w:p>
    <w:p>
      <w:pPr>
        <w:spacing w:after="0" w:line="215" w:lineRule="exact"/>
        <w:rPr>
          <w:sz w:val="24"/>
          <w:szCs w:val="24"/>
          <w:color w:val="auto"/>
        </w:rPr>
      </w:pPr>
    </w:p>
    <w:p>
      <w:pPr>
        <w:ind w:left="4124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color w:val="auto"/>
        </w:rPr>
        <w:t>Účinnost</w:t>
      </w:r>
    </w:p>
    <w:p>
      <w:pPr>
        <w:spacing w:after="0" w:line="215" w:lineRule="exact"/>
        <w:rPr>
          <w:sz w:val="24"/>
          <w:szCs w:val="24"/>
          <w:color w:val="auto"/>
        </w:rPr>
      </w:pPr>
    </w:p>
    <w:p>
      <w:pPr>
        <w:ind w:left="4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b w:val="1"/>
          <w:bCs w:val="1"/>
          <w:color w:val="auto"/>
        </w:rPr>
        <w:t>Tento dodatek Obecně závazné vyhlášky č. 1 / 2021 nabývá účinnosti dnem 1. ledna 2023.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97" w:lineRule="exact"/>
        <w:rPr>
          <w:sz w:val="24"/>
          <w:szCs w:val="24"/>
          <w:color w:val="auto"/>
        </w:rPr>
      </w:pPr>
    </w:p>
    <w:p>
      <w:pPr>
        <w:ind w:left="4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color w:val="auto"/>
        </w:rPr>
        <w:t>V ostatním se Obecně závazná vyhláška č. 1 / 2021 nemění.</w:t>
      </w:r>
    </w:p>
    <w:p>
      <w:pPr>
        <w:sectPr>
          <w:pgSz w:w="11900" w:h="16838" w:orient="portrait"/>
          <w:cols w:equalWidth="0" w:num="1">
            <w:col w:w="9084"/>
          </w:cols>
          <w:pgMar w:left="1416" w:top="707" w:right="1406" w:bottom="1036" w:gutter="0" w:footer="0" w:header="0"/>
        </w:sect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49" w:lineRule="exact"/>
        <w:rPr>
          <w:sz w:val="24"/>
          <w:szCs w:val="24"/>
          <w:color w:val="auto"/>
        </w:rPr>
      </w:pPr>
    </w:p>
    <w:p>
      <w:pPr>
        <w:ind w:left="4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b w:val="1"/>
          <w:bCs w:val="1"/>
          <w:color w:val="auto"/>
        </w:rPr>
        <w:t>……………………………………</w:t>
      </w:r>
    </w:p>
    <w:p>
      <w:pPr>
        <w:spacing w:after="0" w:line="96" w:lineRule="exact"/>
        <w:rPr>
          <w:sz w:val="24"/>
          <w:szCs w:val="24"/>
          <w:color w:val="auto"/>
        </w:rPr>
      </w:pPr>
    </w:p>
    <w:p>
      <w:pPr>
        <w:ind w:left="4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color w:val="auto"/>
        </w:rPr>
        <w:t>Ing. Hana Papajová</w:t>
      </w:r>
    </w:p>
    <w:p>
      <w:pPr>
        <w:spacing w:after="0" w:line="18" w:lineRule="exact"/>
        <w:rPr>
          <w:sz w:val="24"/>
          <w:szCs w:val="24"/>
          <w:color w:val="auto"/>
        </w:rPr>
      </w:pPr>
    </w:p>
    <w:p>
      <w:pPr>
        <w:ind w:left="4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color w:val="auto"/>
        </w:rPr>
        <w:t>starostka obce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br w:type="column"/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29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b w:val="1"/>
          <w:bCs w:val="1"/>
          <w:color w:val="auto"/>
        </w:rPr>
        <w:t>……………………………</w:t>
      </w:r>
    </w:p>
    <w:p>
      <w:pPr>
        <w:spacing w:after="0" w:line="85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color w:val="auto"/>
        </w:rPr>
        <w:t>Pavlína Pártlová</w:t>
      </w:r>
    </w:p>
    <w:p>
      <w:pPr>
        <w:spacing w:after="0" w:line="18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b w:val="1"/>
          <w:bCs w:val="1"/>
          <w:color w:val="auto"/>
        </w:rPr>
        <w:t>místostarostka obce</w:t>
      </w:r>
    </w:p>
    <w:p>
      <w:pPr>
        <w:spacing w:after="0" w:line="245" w:lineRule="exact"/>
        <w:rPr>
          <w:sz w:val="24"/>
          <w:szCs w:val="24"/>
          <w:color w:val="auto"/>
        </w:rPr>
      </w:pPr>
    </w:p>
    <w:p>
      <w:pPr>
        <w:sectPr>
          <w:pgSz w:w="11900" w:h="16838" w:orient="portrait"/>
          <w:cols w:equalWidth="0" w:num="2">
            <w:col w:w="5644" w:space="720"/>
            <w:col w:w="2720"/>
          </w:cols>
          <w:pgMar w:left="1416" w:top="707" w:right="1406" w:bottom="1036" w:gutter="0" w:footer="0" w:header="0"/>
          <w:type w:val="continuous"/>
        </w:sect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83" w:lineRule="exact"/>
        <w:rPr>
          <w:sz w:val="24"/>
          <w:szCs w:val="24"/>
          <w:color w:val="auto"/>
        </w:rPr>
      </w:pPr>
    </w:p>
    <w:p>
      <w:pPr>
        <w:ind w:left="4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b w:val="1"/>
          <w:bCs w:val="1"/>
          <w:color w:val="auto"/>
        </w:rPr>
        <w:t>Vyvěšeno na úřední desce dne:</w:t>
      </w:r>
    </w:p>
    <w:p>
      <w:pPr>
        <w:spacing w:after="0" w:line="62" w:lineRule="exact"/>
        <w:rPr>
          <w:sz w:val="24"/>
          <w:szCs w:val="24"/>
          <w:color w:val="auto"/>
        </w:rPr>
      </w:pPr>
    </w:p>
    <w:p>
      <w:pPr>
        <w:ind w:left="4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b w:val="1"/>
          <w:bCs w:val="1"/>
          <w:color w:val="auto"/>
        </w:rPr>
        <w:t>Sejmuto z úřední desky dne: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br w:type="column"/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63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b w:val="1"/>
          <w:bCs w:val="1"/>
          <w:color w:val="auto"/>
        </w:rPr>
        <w:t>14.12.2022</w:t>
      </w:r>
    </w:p>
    <w:sectPr>
      <w:pgSz w:w="11900" w:h="16838" w:orient="portrait"/>
      <w:cols w:equalWidth="0" w:num="2">
        <w:col w:w="2784" w:space="140"/>
        <w:col w:w="6160"/>
      </w:cols>
      <w:pgMar w:left="1416" w:top="707" w:right="1406" w:bottom="1036" w:gutter="0" w:footer="0" w:header="0"/>
      <w:type w:val="continuous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400001FF" w:csb1="FFFF0000"/>
  </w:font>
</w:fonts>
</file>

<file path=word/numbering.xml><?xml version="1.0" encoding="utf-8"?>
<w:numbering xmlns:w="http://schemas.openxmlformats.org/wordprocessingml/2006/main">
  <w:abstractNum w:abstractNumId="0">
    <w:nsid w:val="327B23C6"/>
    <w:multiLevelType w:val="hybridMultilevel"/>
    <w:lvl w:ilvl="0">
      <w:lvlJc w:val="left"/>
      <w:lvlText w:val="(%1)"/>
      <w:numFmt w:val="decimal"/>
      <w:start w:val="3"/>
    </w:lvl>
    <w:lvl w:ilvl="1">
      <w:lvlJc w:val="left"/>
      <w:lvlText w:val="%2)"/>
      <w:numFmt w:val="lowerLetter"/>
      <w:start w:val="1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webSettings" Target="webSettings.xml"/><Relationship Id="rId11" Type="http://schemas.openxmlformats.org/officeDocument/2006/relationships/numbering" Target="numbering.xml"/><Relationship Id="rId12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2023-12-13T14:02:31Z</dcterms:created>
  <dcterms:modified xsi:type="dcterms:W3CDTF">2023-12-13T14:02:31Z</dcterms:modified>
</cp:coreProperties>
</file>