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tLeast" w:line="280"/>
        <w:jc w:val="center"/>
        <w:rPr>
          <w:b/>
          <w:bCs/>
          <w:spacing w:val="40"/>
          <w:sz w:val="32"/>
          <w:szCs w:val="32"/>
          <w:u w:val="none"/>
        </w:rPr>
      </w:pPr>
      <w:r>
        <w:rPr>
          <w:b/>
          <w:bCs/>
          <w:spacing w:val="40"/>
          <w:sz w:val="32"/>
          <w:szCs w:val="32"/>
          <w:u w:val="none"/>
        </w:rPr>
      </w:r>
    </w:p>
    <w:p>
      <w:pPr>
        <w:pStyle w:val="Heading2"/>
        <w:spacing w:lineRule="atLeast" w:line="280"/>
        <w:jc w:val="center"/>
        <w:rPr>
          <w:rFonts w:ascii="Arial" w:hAnsi="Arial" w:cs="Arial"/>
          <w:b/>
          <w:bCs/>
          <w:spacing w:val="40"/>
          <w:sz w:val="32"/>
          <w:szCs w:val="32"/>
          <w:u w:val="none"/>
        </w:rPr>
      </w:pPr>
      <w:r>
        <w:rPr>
          <w:rFonts w:cs="Arial" w:ascii="Arial" w:hAnsi="Arial"/>
          <w:b/>
          <w:bCs/>
          <w:spacing w:val="40"/>
          <w:sz w:val="32"/>
          <w:szCs w:val="32"/>
          <w:u w:val="none"/>
        </w:rPr>
      </w:r>
    </w:p>
    <w:p>
      <w:pPr>
        <w:pStyle w:val="Header"/>
        <w:tabs>
          <w:tab w:val="clear" w:pos="4536"/>
          <w:tab w:val="clear" w:pos="9072"/>
        </w:tabs>
        <w:rPr/>
      </w:pPr>
      <w:r>
        <w:rPr/>
      </w:r>
    </w:p>
    <w:p>
      <w:pPr>
        <w:pStyle w:val="Normal"/>
        <w:spacing w:lineRule="auto" w:line="276"/>
        <w:jc w:val="center"/>
        <w:rPr>
          <w:sz w:val="32"/>
          <w:szCs w:val="32"/>
        </w:rPr>
      </w:pPr>
      <w:r>
        <w:rPr>
          <w:rFonts w:cs="Arial" w:ascii="Arial" w:hAnsi="Arial"/>
          <w:b/>
          <w:sz w:val="32"/>
          <w:szCs w:val="32"/>
        </w:rPr>
        <w:t>OBEC  SVRKYNĚ</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pPr>
      <w:r>
        <w:rPr>
          <w:rFonts w:cs="Arial" w:ascii="Arial" w:hAnsi="Arial"/>
          <w:b/>
        </w:rPr>
        <w:t>Obecně závazná vyhláška obce  Svrkyně č.1/2024</w:t>
      </w:r>
    </w:p>
    <w:p>
      <w:pPr>
        <w:pStyle w:val="Normal"/>
        <w:spacing w:lineRule="auto" w:line="276"/>
        <w:jc w:val="center"/>
        <w:rPr>
          <w:rFonts w:ascii="Arial" w:hAnsi="Arial" w:cs="Arial"/>
          <w:b/>
        </w:rPr>
      </w:pPr>
      <w:r>
        <w:rPr>
          <w:rFonts w:cs="Arial" w:ascii="Arial" w:hAnsi="Arial"/>
          <w:b/>
        </w:rPr>
        <w:t>o místním poplatku ze psů</w:t>
      </w:r>
    </w:p>
    <w:p>
      <w:pPr>
        <w:pStyle w:val="Normal"/>
        <w:spacing w:lineRule="auto" w:line="276"/>
        <w:jc w:val="center"/>
        <w:rPr>
          <w:rFonts w:ascii="Arial" w:hAnsi="Arial" w:cs="Arial"/>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Svrkyně se na svém zasedání dne 21.10.2024, usnesení č. 1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Svrkyně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FootnoteReference"/>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 Svrkyně .</w:t>
      </w:r>
      <w:r>
        <w:rPr>
          <w:rStyle w:val="FootnoteReference"/>
          <w:rFonts w:cs="Arial" w:ascii="Arial" w:hAnsi="Arial"/>
          <w:sz w:val="22"/>
          <w:szCs w:val="22"/>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Svrkyně příslušné  podle svého místa přihlášení nebo sídla.</w:t>
      </w:r>
      <w:r>
        <w:rPr>
          <w:rStyle w:val="FootnoteReference"/>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FootnoteReference"/>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FootnoteReference"/>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Dojde-li ke změně údajů uvedených v ohlášení, je poplatník povinen tuto změnu oznámit do 15 dnů </w:t>
      </w:r>
      <w:r>
        <w:rPr>
          <w:rFonts w:cs="Arial" w:ascii="Arial" w:hAnsi="Arial"/>
          <w:color w:val="ED7D31"/>
          <w:sz w:val="22"/>
          <w:szCs w:val="22"/>
        </w:rPr>
        <w:t xml:space="preserve"> </w:t>
      </w:r>
      <w:r>
        <w:rPr>
          <w:rFonts w:cs="Arial" w:ascii="Arial" w:hAnsi="Arial"/>
          <w:sz w:val="22"/>
          <w:szCs w:val="22"/>
        </w:rPr>
        <w:t>ode dne, kdy nastala.</w:t>
      </w:r>
      <w:r>
        <w:rPr>
          <w:rStyle w:val="FootnoteReference"/>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 xml:space="preserve">            </w:t>
        <w:tab/>
        <w:t>100,-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100,- Kč,</w:t>
      </w:r>
    </w:p>
    <w:p>
      <w:pPr>
        <w:pStyle w:val="Normal"/>
        <w:numPr>
          <w:ilvl w:val="1"/>
          <w:numId w:val="5"/>
        </w:numPr>
        <w:spacing w:lineRule="auto" w:line="288" w:before="60" w:after="0"/>
        <w:rPr>
          <w:rFonts w:ascii="Arial" w:hAnsi="Arial" w:cs="Arial"/>
          <w:sz w:val="22"/>
          <w:szCs w:val="22"/>
        </w:rPr>
      </w:pPr>
      <w:r>
        <w:rPr>
          <w:rFonts w:cs="Arial" w:ascii="Arial" w:hAnsi="Arial"/>
          <w:sz w:val="22"/>
          <w:szCs w:val="22"/>
        </w:rPr>
        <w:t xml:space="preserve">za psa, jehož držitelem je osoba starší 65 let, </w:t>
        <w:tab/>
        <w:tab/>
        <w:tab/>
        <w:tab/>
        <w:t>100,-Kč,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 xml:space="preserve">za druhého a každého dalšího psa téhož držitele, kterým je osoba starší 65 let, </w:t>
        <w:br/>
        <w:t>100,-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FootnoteReference"/>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zvylnk"/>
        <w:jc w:val="left"/>
        <w:rPr>
          <w:rFonts w:ascii="Arial" w:hAnsi="Arial" w:cs="Arial"/>
          <w:color w:val="0070C0"/>
        </w:rPr>
      </w:pPr>
      <w:r>
        <w:rPr>
          <w:rFonts w:cs="Arial" w:ascii="Arial" w:hAnsi="Arial"/>
          <w:i/>
          <w:color w:val="0070C0"/>
          <w:szCs w:val="24"/>
        </w:rPr>
        <w:t xml:space="preserve">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31.3.příslušného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 xml:space="preserve">Vznikne-li poplatková povinnost po datu splatnosti uvedeném v odstavci 1, je poplatek splatný nejpozději do 15. dne měsíce, který následuje po měsíci, ve kterém poplatková povinnost vznikla </w:t>
      </w:r>
      <w:r>
        <w:rPr>
          <w:rFonts w:cs="Arial" w:ascii="Arial" w:hAnsi="Arial"/>
          <w:i/>
          <w:color w:val="ED7D31"/>
          <w:sz w:val="22"/>
          <w:szCs w:val="22"/>
        </w:rPr>
        <w:t>.</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Nzvylnk"/>
        <w:jc w:val="left"/>
        <w:rPr>
          <w:rFonts w:ascii="Arial" w:hAnsi="Arial" w:cs="Arial"/>
          <w:color w:val="0070C0"/>
        </w:rPr>
      </w:pPr>
      <w:r>
        <w:rPr>
          <w:rFonts w:cs="Arial" w:ascii="Arial" w:hAnsi="Arial"/>
          <w:color w:val="0070C0"/>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cs="Arial" w:ascii="Arial" w:hAnsi="Arial"/>
          <w:sz w:val="22"/>
          <w:szCs w:val="22"/>
        </w:rPr>
        <w:footnoteReference w:id="9"/>
      </w:r>
      <w:r>
        <w:rPr>
          <w:rFonts w:cs="Arial" w:ascii="Arial" w:hAnsi="Arial"/>
          <w:sz w:val="22"/>
          <w:szCs w:val="22"/>
        </w:rPr>
        <w:t xml:space="preserve">.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se dále osvobozují:</w:t>
      </w:r>
    </w:p>
    <w:p>
      <w:pPr>
        <w:pStyle w:val="Normal"/>
        <w:numPr>
          <w:ilvl w:val="1"/>
          <w:numId w:val="3"/>
        </w:numPr>
        <w:spacing w:lineRule="auto" w:line="288" w:before="60" w:after="0"/>
        <w:jc w:val="both"/>
        <w:rPr>
          <w:rFonts w:ascii="Arial" w:hAnsi="Arial" w:cs="Arial"/>
          <w:sz w:val="22"/>
          <w:szCs w:val="22"/>
        </w:rPr>
      </w:pPr>
      <w:r>
        <w:rPr>
          <w:rFonts w:cs="Arial" w:ascii="Arial" w:hAnsi="Arial"/>
          <w:sz w:val="22"/>
          <w:szCs w:val="22"/>
        </w:rPr>
        <w:t>lovečtí psi</w:t>
      </w:r>
    </w:p>
    <w:p>
      <w:pPr>
        <w:pStyle w:val="Normal"/>
        <w:numPr>
          <w:ilvl w:val="0"/>
          <w:numId w:val="0"/>
        </w:numPr>
        <w:spacing w:lineRule="auto" w:line="288" w:before="60" w:after="0"/>
        <w:ind w:hanging="0" w:left="1021"/>
        <w:jc w:val="both"/>
        <w:rPr>
          <w:rFonts w:ascii="Arial" w:hAnsi="Arial" w:cs="Arial"/>
          <w:sz w:val="22"/>
          <w:szCs w:val="22"/>
        </w:rPr>
      </w:pPr>
      <w:r>
        <w:rPr>
          <w:rFonts w:cs="Arial" w:ascii="Arial" w:hAnsi="Arial"/>
          <w:sz w:val="22"/>
          <w:szCs w:val="22"/>
        </w:rPr>
      </w:r>
    </w:p>
    <w:p>
      <w:pPr>
        <w:pStyle w:val="Normal"/>
        <w:numPr>
          <w:ilvl w:val="0"/>
          <w:numId w:val="3"/>
        </w:numPr>
        <w:spacing w:lineRule="auto" w:line="288" w:before="120" w:after="0"/>
        <w:jc w:val="both"/>
        <w:rPr/>
      </w:pPr>
      <w:r>
        <w:rPr>
          <w:rFonts w:cs="Arial" w:ascii="Arial" w:hAnsi="Arial"/>
          <w:sz w:val="22"/>
          <w:szCs w:val="22"/>
        </w:rPr>
        <w:t>Úleva se poskytuje:</w:t>
      </w:r>
    </w:p>
    <w:p>
      <w:pPr>
        <w:pStyle w:val="Normal"/>
        <w:numPr>
          <w:ilvl w:val="1"/>
          <w:numId w:val="3"/>
        </w:numPr>
        <w:spacing w:lineRule="auto" w:line="288" w:before="60" w:after="0"/>
        <w:jc w:val="both"/>
        <w:rPr>
          <w:rFonts w:ascii="Arial" w:hAnsi="Arial" w:cs="Arial"/>
          <w:sz w:val="22"/>
          <w:szCs w:val="22"/>
        </w:rPr>
      </w:pPr>
      <w:r>
        <w:rPr>
          <w:rFonts w:cs="Arial" w:ascii="Arial" w:hAnsi="Arial"/>
          <w:sz w:val="22"/>
          <w:szCs w:val="22"/>
        </w:rPr>
        <w:t>v plné výši</w:t>
      </w:r>
    </w:p>
    <w:p>
      <w:pPr>
        <w:pStyle w:val="Normal"/>
        <w:spacing w:lineRule="auto" w:line="312" w:before="60" w:after="0"/>
        <w:ind w:hanging="0" w:left="567"/>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FootnoteReference"/>
          <w:rFonts w:cs="Arial" w:ascii="Arial" w:hAnsi="Arial"/>
          <w:sz w:val="22"/>
          <w:szCs w:val="22"/>
        </w:rPr>
        <w:footnoteReference w:id="10"/>
      </w:r>
    </w:p>
    <w:p>
      <w:pPr>
        <w:pStyle w:val="Normal"/>
        <w:spacing w:lineRule="auto" w:line="312" w:before="60" w:after="0"/>
        <w:ind w:hanging="0" w:left="567"/>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zvylnk"/>
        <w:spacing w:before="60" w:after="0"/>
        <w:jc w:val="left"/>
        <w:rPr>
          <w:rFonts w:ascii="Arial" w:hAnsi="Arial" w:cs="Arial"/>
          <w:color w:val="0070C0"/>
        </w:rPr>
      </w:pPr>
      <w:r>
        <w:rPr>
          <w:rFonts w:cs="Arial" w:ascii="Arial" w:hAnsi="Arial"/>
          <w:color w:val="0070C0"/>
        </w:rPr>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 xml:space="preserve">Zrušuje se obecně závazná vyhláška č. 2 </w:t>
      </w:r>
      <w:r>
        <w:rPr>
          <w:rFonts w:cs="Arial" w:ascii="Arial" w:hAnsi="Arial"/>
          <w:i/>
          <w:sz w:val="22"/>
          <w:szCs w:val="22"/>
        </w:rPr>
        <w:t xml:space="preserve">/2019 , </w:t>
      </w:r>
      <w:r>
        <w:rPr>
          <w:rFonts w:cs="Arial" w:ascii="Arial" w:hAnsi="Arial"/>
          <w:sz w:val="22"/>
          <w:szCs w:val="22"/>
        </w:rPr>
        <w:t>ze dne</w:t>
      </w:r>
      <w:r>
        <w:rPr>
          <w:rFonts w:cs="Arial" w:ascii="Arial" w:hAnsi="Arial"/>
          <w:i/>
          <w:sz w:val="22"/>
          <w:szCs w:val="22"/>
        </w:rPr>
        <w:t xml:space="preserve"> 25.11.2019 </w:t>
      </w:r>
      <w:r>
        <w:rPr>
          <w:rFonts w:cs="Arial" w:ascii="Arial" w:hAnsi="Arial"/>
          <w:i/>
          <w:color w:val="ED7D31"/>
          <w:sz w:val="22"/>
          <w:szCs w:val="22"/>
        </w:rPr>
        <w:t>.</w:t>
      </w:r>
    </w:p>
    <w:p>
      <w:pPr>
        <w:pStyle w:val="Normal"/>
        <w:jc w:val="both"/>
        <w:rPr>
          <w:rFonts w:ascii="Arial" w:hAnsi="Arial" w:cs="Arial"/>
          <w:i/>
          <w:i/>
          <w:color w:val="ED7D31"/>
          <w:sz w:val="20"/>
          <w:u w:val="single"/>
        </w:rPr>
      </w:pPr>
      <w:r>
        <w:rPr>
          <w:rFonts w:cs="Arial" w:ascii="Arial" w:hAnsi="Arial"/>
          <w:i/>
          <w:color w:val="ED7D31"/>
          <w:sz w:val="20"/>
          <w:u w:val="single"/>
        </w:rPr>
      </w:r>
    </w:p>
    <w:p>
      <w:pPr>
        <w:pStyle w:val="Normal"/>
        <w:jc w:val="both"/>
        <w:rPr>
          <w:rFonts w:ascii="Arial" w:hAnsi="Arial" w:cs="Arial"/>
          <w:i/>
          <w:i/>
          <w:color w:val="ED7D31"/>
          <w:sz w:val="20"/>
          <w:u w:val="single"/>
        </w:rPr>
      </w:pPr>
      <w:r>
        <w:rPr>
          <w:rFonts w:cs="Arial" w:ascii="Arial" w:hAnsi="Arial"/>
          <w:i/>
          <w:color w:val="ED7D31"/>
          <w:sz w:val="20"/>
          <w:u w:val="single"/>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1.1.2025</w:t>
      </w:r>
    </w:p>
    <w:p>
      <w:pPr>
        <w:pStyle w:val="Nzvylnk"/>
        <w:jc w:val="left"/>
        <w:rPr>
          <w:rFonts w:ascii="Arial" w:hAnsi="Arial" w:cs="Arial"/>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BodyText"/>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tab/>
        <w:t xml:space="preserve">      </w:t>
      </w:r>
    </w:p>
    <w:p>
      <w:pPr>
        <w:pStyle w:val="BodyText"/>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ab/>
        <w:t xml:space="preserve">    ...................................</w:t>
      </w:r>
    </w:p>
    <w:p>
      <w:pPr>
        <w:pStyle w:val="BodyText"/>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Bc. František Šafránek</w:t>
      </w:r>
      <w:r>
        <w:rPr>
          <w:rFonts w:cs="Arial" w:ascii="Arial" w:hAnsi="Arial"/>
          <w:sz w:val="22"/>
          <w:szCs w:val="22"/>
        </w:rPr>
        <w:tab/>
        <w:t xml:space="preserve">   </w:t>
      </w:r>
      <w:r>
        <w:rPr>
          <w:rFonts w:cs="Arial" w:ascii="Arial" w:hAnsi="Arial"/>
          <w:sz w:val="22"/>
          <w:szCs w:val="22"/>
        </w:rPr>
        <w:t>Ing. Eva Čermáková</w:t>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starosta  </w:t>
        <w:tab/>
        <w:t>místostarosta</w:t>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firstLine="1" w:left="708"/>
        <w:jc w:val="both"/>
        <w:rPr>
          <w:rFonts w:ascii="Arial" w:hAnsi="Arial" w:cs="Arial"/>
          <w:sz w:val="22"/>
          <w:szCs w:val="22"/>
        </w:rPr>
      </w:pPr>
      <w:r>
        <w:rPr>
          <w:rFonts w:cs="Arial" w:ascii="Arial" w:hAnsi="Arial"/>
          <w:sz w:val="22"/>
          <w:szCs w:val="22"/>
        </w:rPr>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Vyvěšeno: 22.10.2024</w:t>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Sejmuto:10.11.2024</w:t>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tabs>
          <w:tab w:val="clear" w:pos="708"/>
          <w:tab w:val="left" w:pos="3780" w:leader="none"/>
        </w:tabs>
        <w:jc w:val="both"/>
        <w:rPr>
          <w:rFonts w:ascii="Arial" w:hAnsi="Arial" w:cs="Arial"/>
          <w:color w:val="ED7D31"/>
          <w:sz w:val="22"/>
          <w:szCs w:val="22"/>
        </w:rPr>
      </w:pPr>
      <w:r>
        <w:rPr>
          <w:rFonts w:cs="Arial" w:ascii="Arial" w:hAnsi="Arial"/>
          <w:color w:val="ED7D31"/>
          <w:sz w:val="22"/>
          <w:szCs w:val="22"/>
        </w:rPr>
      </w:r>
    </w:p>
    <w:p>
      <w:pPr>
        <w:pStyle w:val="BodyText"/>
        <w:tabs>
          <w:tab w:val="clear" w:pos="708"/>
          <w:tab w:val="left" w:pos="1080" w:leader="none"/>
          <w:tab w:val="left" w:pos="7020" w:leader="none"/>
        </w:tabs>
        <w:spacing w:lineRule="auto" w:line="288" w:before="0" w:after="120"/>
        <w:rPr/>
      </w:pPr>
      <w:r>
        <w:rPr/>
      </w:r>
    </w:p>
    <w:sectPr>
      <w:footerReference w:type="even" r:id="rId2"/>
      <w:footerReference w:type="default" r:id="rId3"/>
      <w:footerReference w:type="firs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FootnoteText"/>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FootnoteText"/>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sid w:val="00893f98"/>
    <w:rPr>
      <w:vertAlign w:val="superscript"/>
    </w:rPr>
  </w:style>
  <w:style w:type="character" w:styleId="TextbublinyChar" w:customStyle="1">
    <w:name w:val="Text bubliny Char"/>
    <w:qFormat/>
    <w:rsid w:val="00b84bba"/>
    <w:rPr>
      <w:rFonts w:ascii="Segoe UI" w:hAnsi="Segoe UI" w:cs="Segoe UI"/>
      <w:sz w:val="18"/>
      <w:szCs w:val="18"/>
    </w:rPr>
  </w:style>
  <w:style w:type="character" w:styleId="CommentReference">
    <w:name w:val="annotation reference"/>
    <w:uiPriority w:val="99"/>
    <w:qFormat/>
    <w:rsid w:val="009e6604"/>
    <w:rPr>
      <w:sz w:val="16"/>
      <w:szCs w:val="16"/>
    </w:rPr>
  </w:style>
  <w:style w:type="character" w:styleId="TextkomenteChar" w:customStyle="1">
    <w:name w:val="Text komentáře Char"/>
    <w:basedOn w:val="DefaultParagraphFon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Znakypropoznmkupodarou">
    <w:name w:val="Znaky pro poznámku pod čarou"/>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893f98"/>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Header">
    <w:name w:val="header"/>
    <w:basedOn w:val="Normal"/>
    <w:link w:val="ZhlavChar"/>
    <w:rsid w:val="00893f98"/>
    <w:pPr>
      <w:tabs>
        <w:tab w:val="clear" w:pos="708"/>
        <w:tab w:val="center" w:pos="4536" w:leader="none"/>
        <w:tab w:val="right" w:pos="9072" w:leader="none"/>
      </w:tabs>
    </w:pPr>
    <w:rPr/>
  </w:style>
  <w:style w:type="paragraph" w:styleId="FootnoteText">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tabs>
        <w:tab w:val="clear" w:pos="708"/>
        <w:tab w:val="left" w:pos="851" w:leader="none"/>
      </w:tabs>
      <w:spacing w:before="0" w:after="120"/>
      <w:ind w:hanging="0" w:left="85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CommentText">
    <w:name w:val="annotation text"/>
    <w:basedOn w:val="Normal"/>
    <w:link w:val="TextkomenteChar"/>
    <w:uiPriority w:val="99"/>
    <w:qFormat/>
    <w:rsid w:val="009e6604"/>
    <w:pPr/>
    <w:rPr>
      <w:sz w:val="20"/>
      <w:szCs w:val="20"/>
    </w:rPr>
  </w:style>
  <w:style w:type="paragraph" w:styleId="Footer">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LibreOffice/24.8.1.2$Windows_X86_64 LibreOffice_project/87fa9aec1a63e70835390b81c40bb8993f1d4ff6</Application>
  <AppVersion>15.0000</AppVersion>
  <Pages>3</Pages>
  <Words>636</Words>
  <Characters>3356</Characters>
  <CharactersWithSpaces>3987</CharactersWithSpaces>
  <Paragraphs>63</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description/>
  <dc:language>cs-CZ</dc:language>
  <cp:lastModifiedBy/>
  <cp:lastPrinted>2019-09-23T08:46:00Z</cp:lastPrinted>
  <dcterms:modified xsi:type="dcterms:W3CDTF">2024-10-14T12:35:42Z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