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15" w:rsidRPr="00650543" w:rsidRDefault="004E7115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650543">
        <w:rPr>
          <w:rFonts w:ascii="Arial" w:hAnsi="Arial" w:cs="Arial"/>
          <w:b/>
          <w:color w:val="000000" w:themeColor="text1"/>
          <w:sz w:val="36"/>
        </w:rPr>
        <w:t>Město Ždírec nad Doubravou</w:t>
      </w:r>
    </w:p>
    <w:p w:rsidR="008D6906" w:rsidRPr="007F382E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F382E">
        <w:rPr>
          <w:rFonts w:ascii="Arial" w:hAnsi="Arial" w:cs="Arial"/>
          <w:b/>
          <w:color w:val="000000" w:themeColor="text1"/>
        </w:rPr>
        <w:t>Zastupitelstvo města</w:t>
      </w:r>
      <w:r w:rsidR="004E7115" w:rsidRPr="007F382E">
        <w:rPr>
          <w:rFonts w:ascii="Arial" w:hAnsi="Arial" w:cs="Arial"/>
          <w:b/>
          <w:color w:val="000000" w:themeColor="text1"/>
        </w:rPr>
        <w:t xml:space="preserve"> Ždírec nad Doubravou</w:t>
      </w:r>
    </w:p>
    <w:p w:rsidR="008D6906" w:rsidRPr="007F382E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F382E">
        <w:rPr>
          <w:rFonts w:ascii="Arial" w:hAnsi="Arial" w:cs="Arial"/>
          <w:b/>
          <w:color w:val="000000" w:themeColor="text1"/>
        </w:rPr>
        <w:t>Obecně závazná vyhláška města</w:t>
      </w:r>
    </w:p>
    <w:p w:rsidR="008D6906" w:rsidRPr="007F382E" w:rsidRDefault="008D6906" w:rsidP="008D6906">
      <w:pPr>
        <w:jc w:val="center"/>
        <w:rPr>
          <w:rFonts w:ascii="Arial" w:hAnsi="Arial" w:cs="Arial"/>
          <w:b/>
          <w:color w:val="000000" w:themeColor="text1"/>
        </w:rPr>
      </w:pPr>
      <w:r w:rsidRPr="007F382E">
        <w:rPr>
          <w:rFonts w:ascii="Arial" w:hAnsi="Arial" w:cs="Arial"/>
          <w:b/>
          <w:color w:val="000000" w:themeColor="text1"/>
        </w:rPr>
        <w:t xml:space="preserve">o místním poplatku </w:t>
      </w:r>
      <w:r w:rsidR="00650483" w:rsidRPr="007F382E">
        <w:rPr>
          <w:rFonts w:ascii="Arial" w:hAnsi="Arial" w:cs="Arial"/>
          <w:b/>
          <w:color w:val="000000" w:themeColor="text1"/>
        </w:rPr>
        <w:t>za obecní sy</w:t>
      </w:r>
      <w:r w:rsidR="00720121" w:rsidRPr="007F382E">
        <w:rPr>
          <w:rFonts w:ascii="Arial" w:hAnsi="Arial" w:cs="Arial"/>
          <w:b/>
          <w:color w:val="000000" w:themeColor="text1"/>
        </w:rPr>
        <w:t>s</w:t>
      </w:r>
      <w:r w:rsidR="00650483" w:rsidRPr="007F382E">
        <w:rPr>
          <w:rFonts w:ascii="Arial" w:hAnsi="Arial" w:cs="Arial"/>
          <w:b/>
          <w:color w:val="000000" w:themeColor="text1"/>
        </w:rPr>
        <w:t>tém odpadového hospodářství</w:t>
      </w:r>
    </w:p>
    <w:p w:rsidR="008D6906" w:rsidRPr="007F382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bookmarkStart w:id="0" w:name="_GoBack"/>
      <w:bookmarkEnd w:id="0"/>
    </w:p>
    <w:p w:rsidR="00131160" w:rsidRPr="007F382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Zastupitelstvo města </w:t>
      </w:r>
      <w:r w:rsidR="004E7115" w:rsidRPr="007F38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Ždírec nad Doubravou </w:t>
      </w:r>
      <w:r w:rsidRPr="007F38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se na svém zasedání dne </w:t>
      </w:r>
      <w:r w:rsidR="00650543">
        <w:rPr>
          <w:rFonts w:ascii="Arial" w:hAnsi="Arial" w:cs="Arial"/>
          <w:b w:val="0"/>
          <w:color w:val="000000" w:themeColor="text1"/>
          <w:sz w:val="22"/>
          <w:szCs w:val="22"/>
        </w:rPr>
        <w:t>8</w:t>
      </w:r>
      <w:r w:rsidR="00F94C52" w:rsidRPr="007F382E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97205B">
        <w:rPr>
          <w:rFonts w:ascii="Arial" w:hAnsi="Arial" w:cs="Arial"/>
          <w:b w:val="0"/>
          <w:color w:val="000000" w:themeColor="text1"/>
          <w:sz w:val="22"/>
          <w:szCs w:val="22"/>
        </w:rPr>
        <w:t> </w:t>
      </w:r>
      <w:r w:rsidR="00F94C52" w:rsidRPr="007F382E">
        <w:rPr>
          <w:rFonts w:ascii="Arial" w:hAnsi="Arial" w:cs="Arial"/>
          <w:b w:val="0"/>
          <w:color w:val="000000" w:themeColor="text1"/>
          <w:sz w:val="22"/>
          <w:szCs w:val="22"/>
        </w:rPr>
        <w:t>12.</w:t>
      </w:r>
      <w:r w:rsidR="0097205B">
        <w:rPr>
          <w:rFonts w:ascii="Arial" w:hAnsi="Arial" w:cs="Arial"/>
          <w:b w:val="0"/>
          <w:color w:val="000000" w:themeColor="text1"/>
          <w:sz w:val="22"/>
          <w:szCs w:val="22"/>
        </w:rPr>
        <w:t> </w:t>
      </w:r>
      <w:r w:rsidR="00F94C52" w:rsidRPr="007F382E">
        <w:rPr>
          <w:rFonts w:ascii="Arial" w:hAnsi="Arial" w:cs="Arial"/>
          <w:b w:val="0"/>
          <w:color w:val="000000" w:themeColor="text1"/>
          <w:sz w:val="22"/>
          <w:szCs w:val="22"/>
        </w:rPr>
        <w:t>202</w:t>
      </w:r>
      <w:r w:rsidR="00650543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Pr="007F38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usnesením č. </w:t>
      </w:r>
      <w:r w:rsidR="0097205B">
        <w:rPr>
          <w:rFonts w:ascii="Arial" w:hAnsi="Arial" w:cs="Arial"/>
          <w:b w:val="0"/>
          <w:color w:val="000000" w:themeColor="text1"/>
          <w:sz w:val="22"/>
          <w:szCs w:val="22"/>
        </w:rPr>
        <w:t>15/01/22</w:t>
      </w:r>
      <w:r w:rsidR="007F382E" w:rsidRPr="007F38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7F382E">
        <w:rPr>
          <w:rFonts w:ascii="Arial" w:hAnsi="Arial" w:cs="Arial"/>
          <w:b w:val="0"/>
          <w:color w:val="000000" w:themeColor="text1"/>
          <w:sz w:val="22"/>
          <w:szCs w:val="22"/>
        </w:rPr>
        <w:t>usneslo vydat na základě</w:t>
      </w:r>
      <w:r w:rsidR="007165A1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§ 14</w:t>
      </w:r>
      <w:r w:rsidR="00131160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zákona č. 565/1990 Sb., o místních poplatcích, ve znění pozdějších předpisů</w:t>
      </w:r>
      <w:r w:rsidR="00C1031D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(dále jen „zákon </w:t>
      </w:r>
      <w:r w:rsidR="0093525E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o </w:t>
      </w:r>
      <w:r w:rsidR="00C1031D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místních poplatcích“)</w:t>
      </w:r>
      <w:r w:rsidR="00402CA3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="00131160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 v souladu s § 10 písm. d) a § 84 odst. 2 pís</w:t>
      </w:r>
      <w:r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m. h) zákona č. 128/2000 Sb.,</w:t>
      </w:r>
      <w:r w:rsidR="00131160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o obcích (obecní zřízení)</w:t>
      </w:r>
      <w:r w:rsidR="00412321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ve znění pozdějších předpisů,</w:t>
      </w:r>
      <w:r w:rsidR="00131160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tuto obecně závaznou vyhlášku (dále jen „</w:t>
      </w:r>
      <w:r w:rsidR="00B82D08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tato </w:t>
      </w:r>
      <w:r w:rsidR="00131160"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vyhláška“): </w:t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Čl. 1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Úvodní ustanovení</w:t>
      </w:r>
    </w:p>
    <w:p w:rsidR="00131160" w:rsidRPr="007F382E" w:rsidRDefault="004E7115" w:rsidP="004E711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M</w:t>
      </w:r>
      <w:r w:rsidR="008D6906" w:rsidRPr="007F382E">
        <w:rPr>
          <w:rFonts w:ascii="Arial" w:hAnsi="Arial" w:cs="Arial"/>
          <w:color w:val="000000" w:themeColor="text1"/>
          <w:sz w:val="22"/>
          <w:szCs w:val="22"/>
        </w:rPr>
        <w:t>ěsto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Ždírec nad Doubravou</w:t>
      </w:r>
      <w:r w:rsidR="00131160" w:rsidRPr="007F382E">
        <w:rPr>
          <w:rFonts w:ascii="Arial" w:hAnsi="Arial" w:cs="Arial"/>
          <w:color w:val="000000" w:themeColor="text1"/>
          <w:sz w:val="22"/>
          <w:szCs w:val="22"/>
        </w:rPr>
        <w:t xml:space="preserve"> touto vyhláškou zavádí místní poplatek za </w:t>
      </w:r>
      <w:r w:rsidR="00DB0904" w:rsidRPr="007F382E">
        <w:rPr>
          <w:rFonts w:ascii="Arial" w:hAnsi="Arial" w:cs="Arial"/>
          <w:color w:val="000000" w:themeColor="text1"/>
          <w:sz w:val="22"/>
          <w:szCs w:val="22"/>
        </w:rPr>
        <w:t>obecní sy</w:t>
      </w:r>
      <w:r w:rsidR="00720121" w:rsidRPr="007F382E">
        <w:rPr>
          <w:rFonts w:ascii="Arial" w:hAnsi="Arial" w:cs="Arial"/>
          <w:color w:val="000000" w:themeColor="text1"/>
          <w:sz w:val="22"/>
          <w:szCs w:val="22"/>
        </w:rPr>
        <w:t>s</w:t>
      </w:r>
      <w:r w:rsidR="00DB0904" w:rsidRPr="007F382E">
        <w:rPr>
          <w:rFonts w:ascii="Arial" w:hAnsi="Arial" w:cs="Arial"/>
          <w:color w:val="000000" w:themeColor="text1"/>
          <w:sz w:val="22"/>
          <w:szCs w:val="22"/>
        </w:rPr>
        <w:t xml:space="preserve">tém odpadového hospodářství </w:t>
      </w:r>
      <w:r w:rsidR="00131160" w:rsidRPr="007F382E">
        <w:rPr>
          <w:rFonts w:ascii="Arial" w:hAnsi="Arial" w:cs="Arial"/>
          <w:color w:val="000000" w:themeColor="text1"/>
          <w:sz w:val="22"/>
          <w:szCs w:val="22"/>
        </w:rPr>
        <w:t>(dále jen „poplatek“).</w:t>
      </w:r>
    </w:p>
    <w:p w:rsidR="009D02DA" w:rsidRPr="007F382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Správcem poplatku je městský úřad</w:t>
      </w:r>
      <w:r w:rsidR="009D02DA" w:rsidRPr="007F382E">
        <w:rPr>
          <w:rFonts w:ascii="Arial" w:hAnsi="Arial" w:cs="Arial"/>
          <w:color w:val="000000" w:themeColor="text1"/>
          <w:sz w:val="22"/>
          <w:szCs w:val="22"/>
        </w:rPr>
        <w:t>.</w:t>
      </w:r>
      <w:r w:rsidR="009D02DA" w:rsidRPr="007F382E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"/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Čl. 2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Poplatník</w:t>
      </w:r>
    </w:p>
    <w:p w:rsidR="004C0427" w:rsidRPr="007F382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Poplatníkem poplatku je</w:t>
      </w:r>
      <w:r w:rsidR="00131160"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="00131160" w:rsidRPr="007F382E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650483" w:rsidRPr="007F382E" w:rsidRDefault="00650483" w:rsidP="00650483">
      <w:pPr>
        <w:pStyle w:val="Default"/>
        <w:spacing w:after="53"/>
        <w:ind w:firstLine="567"/>
        <w:jc w:val="both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>a) fyzická osoba přihlášená v obci</w:t>
      </w:r>
      <w:r w:rsidR="00F137F9" w:rsidRPr="007F382E">
        <w:rPr>
          <w:rStyle w:val="Znakapoznpodarou"/>
          <w:color w:val="000000" w:themeColor="text1"/>
          <w:sz w:val="22"/>
          <w:szCs w:val="22"/>
        </w:rPr>
        <w:footnoteReference w:id="3"/>
      </w:r>
      <w:r w:rsidRPr="007F382E">
        <w:rPr>
          <w:color w:val="000000" w:themeColor="text1"/>
          <w:sz w:val="22"/>
          <w:szCs w:val="22"/>
        </w:rPr>
        <w:t xml:space="preserve"> nebo </w:t>
      </w:r>
    </w:p>
    <w:p w:rsidR="00650483" w:rsidRPr="007F382E" w:rsidRDefault="00650483" w:rsidP="00650483">
      <w:pPr>
        <w:pStyle w:val="Default"/>
        <w:ind w:left="567"/>
        <w:jc w:val="both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7F382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</w:p>
    <w:p w:rsidR="00CD0C08" w:rsidRPr="007F382E" w:rsidRDefault="00CD0C08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Čl. 3</w:t>
      </w:r>
    </w:p>
    <w:p w:rsidR="00CD0C08" w:rsidRPr="007F382E" w:rsidRDefault="00CD0C08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Poplatkové období</w:t>
      </w:r>
    </w:p>
    <w:p w:rsidR="00CD0C08" w:rsidRPr="007F382E" w:rsidRDefault="00CD0C08" w:rsidP="007F382E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Poplatkovým obdobím poplatku je kalendářní rok.</w:t>
      </w:r>
      <w:r w:rsidRPr="007F382E">
        <w:rPr>
          <w:rStyle w:val="Znakapoznpodarou"/>
          <w:rFonts w:ascii="Arial" w:hAnsi="Arial" w:cs="Arial"/>
          <w:b w:val="0"/>
          <w:bCs w:val="0"/>
          <w:color w:val="000000" w:themeColor="text1"/>
          <w:sz w:val="22"/>
          <w:szCs w:val="22"/>
        </w:rPr>
        <w:footnoteReference w:id="5"/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4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Ohlašovací povinnost</w:t>
      </w:r>
    </w:p>
    <w:p w:rsidR="003F03CB" w:rsidRPr="007F382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Poplatník </w:t>
      </w:r>
      <w:r w:rsidR="00087ACD" w:rsidRPr="007F382E">
        <w:rPr>
          <w:rFonts w:ascii="Arial" w:hAnsi="Arial" w:cs="Arial"/>
          <w:color w:val="000000" w:themeColor="text1"/>
          <w:sz w:val="22"/>
          <w:szCs w:val="22"/>
        </w:rPr>
        <w:t>je povinen podat správci poplatku ohlášení nejpozději do</w:t>
      </w:r>
      <w:r w:rsidR="00B841A7"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7115" w:rsidRPr="007F382E">
        <w:rPr>
          <w:rFonts w:ascii="Arial" w:hAnsi="Arial" w:cs="Arial"/>
          <w:color w:val="000000" w:themeColor="text1"/>
          <w:sz w:val="22"/>
          <w:szCs w:val="22"/>
        </w:rPr>
        <w:t>30</w:t>
      </w:r>
      <w:r w:rsidR="00B841A7"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7ACD" w:rsidRPr="007F382E">
        <w:rPr>
          <w:rFonts w:ascii="Arial" w:hAnsi="Arial" w:cs="Arial"/>
          <w:color w:val="000000" w:themeColor="text1"/>
          <w:sz w:val="22"/>
          <w:szCs w:val="22"/>
        </w:rPr>
        <w:t>dnů ode dne</w:t>
      </w:r>
      <w:r w:rsidR="003F03CB" w:rsidRPr="007F382E">
        <w:rPr>
          <w:rFonts w:ascii="Arial" w:hAnsi="Arial" w:cs="Arial"/>
          <w:color w:val="000000" w:themeColor="text1"/>
          <w:sz w:val="22"/>
          <w:szCs w:val="22"/>
        </w:rPr>
        <w:t xml:space="preserve"> vzniku své poplatkové povinnosti. </w:t>
      </w:r>
    </w:p>
    <w:p w:rsidR="00087ACD" w:rsidRPr="007F382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V ohlášení poplatník uvede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87ACD" w:rsidRPr="007F382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adresu</w:t>
      </w:r>
      <w:proofErr w:type="gramEnd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pro doručování; právnická osoba uvede též osoby, které jsou jejím jménem oprávněny jednat </w:t>
      </w:r>
      <w:r w:rsidR="006967EB" w:rsidRPr="007F382E">
        <w:rPr>
          <w:rFonts w:ascii="Arial" w:hAnsi="Arial" w:cs="Arial"/>
          <w:color w:val="000000" w:themeColor="text1"/>
          <w:sz w:val="22"/>
          <w:szCs w:val="22"/>
        </w:rPr>
        <w:br/>
      </w:r>
      <w:r w:rsidRPr="007F382E">
        <w:rPr>
          <w:rFonts w:ascii="Arial" w:hAnsi="Arial" w:cs="Arial"/>
          <w:color w:val="000000" w:themeColor="text1"/>
          <w:sz w:val="22"/>
          <w:szCs w:val="22"/>
        </w:rPr>
        <w:t>v poplatkových věcech,</w:t>
      </w:r>
    </w:p>
    <w:p w:rsidR="00087ACD" w:rsidRPr="007F382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F382E">
        <w:rPr>
          <w:rFonts w:ascii="Arial" w:hAnsi="Arial" w:cs="Arial"/>
          <w:color w:val="000000" w:themeColor="text1"/>
          <w:sz w:val="22"/>
          <w:szCs w:val="22"/>
        </w:rPr>
        <w:t>t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níka,</w:t>
      </w:r>
    </w:p>
    <w:p w:rsidR="00087ACD" w:rsidRPr="007F382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7F382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F382E">
        <w:rPr>
          <w:rFonts w:ascii="Arial" w:hAnsi="Arial" w:cs="Arial"/>
          <w:color w:val="000000" w:themeColor="text1"/>
          <w:sz w:val="22"/>
          <w:szCs w:val="22"/>
        </w:rPr>
        <w:t>také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adresu svého zmocněnce v tuzemsku pro doručování.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:rsidR="00131160" w:rsidRPr="007F382E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Dojde-li ke změně údajů uvedených v ohlášení, je poplatník povinen tuto změnu oznámit do </w:t>
      </w:r>
      <w:r w:rsidR="004E7115" w:rsidRPr="007F382E">
        <w:rPr>
          <w:rFonts w:ascii="Arial" w:hAnsi="Arial" w:cs="Arial"/>
          <w:color w:val="000000" w:themeColor="text1"/>
          <w:sz w:val="22"/>
          <w:szCs w:val="22"/>
        </w:rPr>
        <w:t>30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2A72" w:rsidRPr="007F382E">
        <w:rPr>
          <w:rFonts w:ascii="Arial" w:hAnsi="Arial" w:cs="Arial"/>
          <w:color w:val="000000" w:themeColor="text1"/>
          <w:sz w:val="22"/>
          <w:szCs w:val="22"/>
        </w:rPr>
        <w:t xml:space="preserve">dnů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</w:p>
    <w:p w:rsidR="00DD09F5" w:rsidRPr="007F382E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Povinnost oh</w:t>
      </w:r>
      <w:r w:rsidR="00371A61" w:rsidRPr="007F382E">
        <w:rPr>
          <w:rFonts w:ascii="Arial" w:hAnsi="Arial" w:cs="Arial"/>
          <w:color w:val="000000" w:themeColor="text1"/>
          <w:sz w:val="22"/>
          <w:szCs w:val="22"/>
        </w:rPr>
        <w:t>lásit údaj podle odst</w:t>
      </w:r>
      <w:r w:rsidR="004A5FF4" w:rsidRPr="007F382E">
        <w:rPr>
          <w:rFonts w:ascii="Arial" w:hAnsi="Arial" w:cs="Arial"/>
          <w:color w:val="000000" w:themeColor="text1"/>
          <w:sz w:val="22"/>
          <w:szCs w:val="22"/>
        </w:rPr>
        <w:t xml:space="preserve">avce </w:t>
      </w:r>
      <w:r w:rsidR="00371A61" w:rsidRPr="007F382E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i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5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Sazba poplatku</w:t>
      </w:r>
    </w:p>
    <w:p w:rsidR="006A4A80" w:rsidRPr="007F382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Sazba poplatku činí</w:t>
      </w:r>
      <w:r w:rsidR="009D0FF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50543" w:rsidRPr="009D0FF5">
        <w:rPr>
          <w:rFonts w:ascii="Arial" w:hAnsi="Arial" w:cs="Arial"/>
          <w:b/>
          <w:color w:val="000000" w:themeColor="text1"/>
          <w:sz w:val="22"/>
          <w:szCs w:val="22"/>
        </w:rPr>
        <w:t>600 </w:t>
      </w:r>
      <w:r w:rsidRPr="009D0FF5">
        <w:rPr>
          <w:rFonts w:ascii="Arial" w:hAnsi="Arial" w:cs="Arial"/>
          <w:b/>
          <w:color w:val="000000" w:themeColor="text1"/>
          <w:sz w:val="22"/>
          <w:szCs w:val="22"/>
        </w:rPr>
        <w:t>K</w:t>
      </w:r>
      <w:r w:rsidRPr="007F382E">
        <w:rPr>
          <w:rFonts w:ascii="Arial" w:hAnsi="Arial" w:cs="Arial"/>
          <w:b/>
          <w:color w:val="000000" w:themeColor="text1"/>
          <w:sz w:val="22"/>
          <w:szCs w:val="22"/>
        </w:rPr>
        <w:t>č</w:t>
      </w:r>
      <w:r w:rsidR="006A4A80" w:rsidRPr="007F382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6A4A80" w:rsidRPr="007F382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Poplatek</w:t>
      </w:r>
      <w:proofErr w:type="gramEnd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konci</w:t>
      </w:r>
      <w:proofErr w:type="gramEnd"/>
      <w:r w:rsidR="00A904E7"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0"/>
      </w:r>
    </w:p>
    <w:p w:rsidR="006A4A80" w:rsidRPr="007F382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a) není tato fyzická osoba přihlášena v obci, nebo</w:t>
      </w:r>
    </w:p>
    <w:p w:rsidR="006A4A80" w:rsidRPr="007F382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b) je tato fyzická osoba od poplatku osvobozena.</w:t>
      </w:r>
    </w:p>
    <w:p w:rsidR="006A4A80" w:rsidRPr="007F382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Poplatek</w:t>
      </w:r>
      <w:proofErr w:type="gramEnd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konci</w:t>
      </w:r>
      <w:proofErr w:type="gramEnd"/>
      <w:r w:rsidR="00A904E7"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1"/>
      </w:r>
    </w:p>
    <w:p w:rsidR="006A4A80" w:rsidRPr="007F382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a) je v této nemovité věci přihlášena alespoň 1 fyzická osoba,</w:t>
      </w:r>
    </w:p>
    <w:p w:rsidR="006A4A80" w:rsidRPr="007F382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b) poplatník nevlastní tuto nemovitou věc, nebo</w:t>
      </w:r>
    </w:p>
    <w:p w:rsidR="00E44423" w:rsidRPr="007F382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c) je poplatník od poplatku osvobozen</w:t>
      </w:r>
      <w:r w:rsidRPr="007F382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7F382E" w:rsidRPr="007F382E" w:rsidRDefault="007F382E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F382E" w:rsidRPr="007F382E" w:rsidRDefault="007F382E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lastRenderedPageBreak/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6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Splatnost poplatku</w:t>
      </w:r>
    </w:p>
    <w:p w:rsidR="001B48A8" w:rsidRPr="007F382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Poplatek je splatný jednorázově</w:t>
      </w:r>
      <w:r w:rsidR="00A904E7" w:rsidRPr="007F382E">
        <w:rPr>
          <w:rFonts w:ascii="Arial" w:hAnsi="Arial" w:cs="Arial"/>
          <w:color w:val="000000" w:themeColor="text1"/>
          <w:sz w:val="22"/>
          <w:szCs w:val="22"/>
        </w:rPr>
        <w:t>,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a to</w:t>
      </w:r>
      <w:r w:rsidR="001B48A8" w:rsidRPr="007F382E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131160" w:rsidRPr="007F382E" w:rsidRDefault="001B48A8" w:rsidP="001B48A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pro poplatníka dle čl. 2 odst. 1 písm. a) této vyhlášky  </w:t>
      </w:r>
      <w:r w:rsidR="00131160" w:rsidRPr="007F382E">
        <w:rPr>
          <w:rFonts w:ascii="Arial" w:hAnsi="Arial" w:cs="Arial"/>
          <w:color w:val="000000" w:themeColor="text1"/>
        </w:rPr>
        <w:t xml:space="preserve">nejpozději do </w:t>
      </w:r>
      <w:r w:rsidRPr="007F382E">
        <w:rPr>
          <w:rFonts w:ascii="Arial" w:hAnsi="Arial" w:cs="Arial"/>
          <w:color w:val="000000" w:themeColor="text1"/>
        </w:rPr>
        <w:t>30. 6.</w:t>
      </w:r>
      <w:r w:rsidR="00131160" w:rsidRPr="007F382E">
        <w:rPr>
          <w:rFonts w:ascii="Arial" w:hAnsi="Arial" w:cs="Arial"/>
          <w:color w:val="000000" w:themeColor="text1"/>
        </w:rPr>
        <w:t xml:space="preserve"> </w:t>
      </w:r>
      <w:r w:rsidR="00420943" w:rsidRPr="007F382E">
        <w:rPr>
          <w:rFonts w:ascii="Arial" w:hAnsi="Arial" w:cs="Arial"/>
          <w:color w:val="000000" w:themeColor="text1"/>
        </w:rPr>
        <w:t xml:space="preserve"> </w:t>
      </w:r>
      <w:r w:rsidR="00131160" w:rsidRPr="007F382E">
        <w:rPr>
          <w:rFonts w:ascii="Arial" w:hAnsi="Arial" w:cs="Arial"/>
          <w:color w:val="000000" w:themeColor="text1"/>
        </w:rPr>
        <w:t>příslušného kalendářního roku</w:t>
      </w:r>
      <w:r w:rsidR="00420943" w:rsidRPr="007F382E">
        <w:rPr>
          <w:rFonts w:ascii="Arial" w:hAnsi="Arial" w:cs="Arial"/>
          <w:color w:val="000000" w:themeColor="text1"/>
        </w:rPr>
        <w:t>.</w:t>
      </w:r>
      <w:r w:rsidR="00131160" w:rsidRPr="007F382E">
        <w:rPr>
          <w:rFonts w:ascii="Arial" w:hAnsi="Arial" w:cs="Arial"/>
          <w:color w:val="000000" w:themeColor="text1"/>
        </w:rPr>
        <w:t xml:space="preserve"> </w:t>
      </w:r>
    </w:p>
    <w:p w:rsidR="001B48A8" w:rsidRPr="007F382E" w:rsidRDefault="001B48A8" w:rsidP="001B48A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pro poplatníka dle čl. 2 odst. 1 písm. b) této vyhlášky nejpozději do 31. 7. příslušného kalendářního roku.</w:t>
      </w:r>
    </w:p>
    <w:p w:rsidR="00131160" w:rsidRPr="007F382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Vznikne-li poplatková povinnost po datu splatnosti uvedeném v</w:t>
      </w:r>
      <w:r w:rsidR="004A5FF4" w:rsidRPr="007F382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odst</w:t>
      </w:r>
      <w:r w:rsidR="004A5FF4" w:rsidRPr="007F382E">
        <w:rPr>
          <w:rFonts w:ascii="Arial" w:hAnsi="Arial" w:cs="Arial"/>
          <w:color w:val="000000" w:themeColor="text1"/>
          <w:sz w:val="22"/>
          <w:szCs w:val="22"/>
        </w:rPr>
        <w:t xml:space="preserve">avci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1, je poplatek splatný nejpozději do 15. dne měsíce, který následuje po měsíci, ve kter</w:t>
      </w:r>
      <w:r w:rsidR="00E907D6" w:rsidRPr="007F382E">
        <w:rPr>
          <w:rFonts w:ascii="Arial" w:hAnsi="Arial" w:cs="Arial"/>
          <w:color w:val="000000" w:themeColor="text1"/>
          <w:sz w:val="22"/>
          <w:szCs w:val="22"/>
        </w:rPr>
        <w:t>ém poplatková povinnost vznikla.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E4DB7" w:rsidRPr="007F382E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7</w:t>
      </w:r>
    </w:p>
    <w:p w:rsidR="00131160" w:rsidRPr="007F382E" w:rsidRDefault="00314C4B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Osvobození</w:t>
      </w:r>
    </w:p>
    <w:p w:rsidR="00A904E7" w:rsidRPr="007F382E" w:rsidRDefault="00A904E7" w:rsidP="00A904E7">
      <w:pPr>
        <w:pStyle w:val="Default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>Od poplatku je osvobozena osoba, které poplatková povinnost vznikla z důvodu přihlášení v obci a která je</w:t>
      </w:r>
      <w:r w:rsidRPr="007F382E">
        <w:rPr>
          <w:rStyle w:val="Znakapoznpodarou"/>
          <w:color w:val="000000" w:themeColor="text1"/>
          <w:sz w:val="22"/>
          <w:szCs w:val="22"/>
        </w:rPr>
        <w:footnoteReference w:id="12"/>
      </w:r>
      <w:r w:rsidRPr="007F382E">
        <w:rPr>
          <w:color w:val="000000" w:themeColor="text1"/>
          <w:sz w:val="22"/>
          <w:szCs w:val="22"/>
        </w:rPr>
        <w:t xml:space="preserve"> </w:t>
      </w:r>
    </w:p>
    <w:p w:rsidR="00A904E7" w:rsidRPr="007F382E" w:rsidRDefault="00A904E7" w:rsidP="00A904E7">
      <w:pPr>
        <w:pStyle w:val="Default"/>
        <w:ind w:left="567"/>
        <w:rPr>
          <w:color w:val="000000" w:themeColor="text1"/>
        </w:rPr>
      </w:pPr>
      <w:r w:rsidRPr="007F382E">
        <w:rPr>
          <w:color w:val="000000" w:themeColor="text1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7F382E" w:rsidRDefault="00A904E7" w:rsidP="00A904E7">
      <w:pPr>
        <w:pStyle w:val="Default"/>
        <w:spacing w:after="53"/>
        <w:ind w:left="567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7F382E" w:rsidRDefault="00A904E7" w:rsidP="00A904E7">
      <w:pPr>
        <w:pStyle w:val="Default"/>
        <w:spacing w:after="53"/>
        <w:ind w:left="567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7F382E" w:rsidRDefault="00A904E7" w:rsidP="00A904E7">
      <w:pPr>
        <w:pStyle w:val="Default"/>
        <w:spacing w:after="53"/>
        <w:ind w:left="567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7F382E" w:rsidRDefault="00A904E7" w:rsidP="00A904E7">
      <w:pPr>
        <w:pStyle w:val="Default"/>
        <w:ind w:left="567"/>
        <w:rPr>
          <w:color w:val="000000" w:themeColor="text1"/>
          <w:sz w:val="22"/>
          <w:szCs w:val="22"/>
        </w:rPr>
      </w:pPr>
      <w:r w:rsidRPr="007F382E">
        <w:rPr>
          <w:color w:val="000000" w:themeColor="text1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7F382E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Od poplatku se osvobozuj</w:t>
      </w:r>
      <w:r w:rsidR="003E5852" w:rsidRPr="007F382E">
        <w:rPr>
          <w:rFonts w:ascii="Arial" w:hAnsi="Arial" w:cs="Arial"/>
          <w:color w:val="000000" w:themeColor="text1"/>
          <w:sz w:val="22"/>
          <w:szCs w:val="22"/>
        </w:rPr>
        <w:t>e osoba, které poplatková povinnost vznikla z důvodu přihlášení v obci a</w:t>
      </w:r>
      <w:r w:rsidR="00F71D1C" w:rsidRPr="007F382E">
        <w:rPr>
          <w:rFonts w:ascii="Arial" w:hAnsi="Arial" w:cs="Arial"/>
          <w:color w:val="000000" w:themeColor="text1"/>
          <w:sz w:val="22"/>
          <w:szCs w:val="22"/>
        </w:rPr>
        <w:t xml:space="preserve"> která</w:t>
      </w:r>
    </w:p>
    <w:p w:rsidR="005043AA" w:rsidRPr="007F382E" w:rsidRDefault="005043AA" w:rsidP="005043A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je z obtížně přístupných lokalit, kde není zajištěna likvidace komunálního odpadu prostřednictvím pravidelného odvozu oprávněnou osobou: </w:t>
      </w:r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 xml:space="preserve">Benátky </w:t>
      </w:r>
      <w:proofErr w:type="gramStart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 xml:space="preserve"> 21, Horní Studenec č.p. 69,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Nový Studene</w:t>
      </w:r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 xml:space="preserve">c </w:t>
      </w:r>
      <w:proofErr w:type="spellStart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>e.č</w:t>
      </w:r>
      <w:proofErr w:type="spellEnd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>. 20, Stružinec č.p. 14.</w:t>
      </w:r>
    </w:p>
    <w:p w:rsidR="0072348E" w:rsidRPr="007F382E" w:rsidRDefault="0072348E" w:rsidP="0072348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382E">
        <w:rPr>
          <w:rFonts w:ascii="Arial" w:hAnsi="Arial" w:cs="Arial"/>
          <w:color w:val="000000" w:themeColor="text1"/>
          <w:sz w:val="22"/>
          <w:szCs w:val="22"/>
        </w:rPr>
        <w:t>se</w:t>
      </w:r>
      <w:proofErr w:type="gramEnd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na území města nezdržuj</w:t>
      </w:r>
      <w:r w:rsidR="00490EEF" w:rsidRPr="007F382E">
        <w:rPr>
          <w:rFonts w:ascii="Arial" w:hAnsi="Arial" w:cs="Arial"/>
          <w:color w:val="000000" w:themeColor="text1"/>
          <w:sz w:val="22"/>
          <w:szCs w:val="22"/>
        </w:rPr>
        <w:t>e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z důvodu pobytu ve zdravotnickém zařízení poskytujícím lůžkovou péči nebo dlouhodobého nepřetržitého pobývání (min. 9</w:t>
      </w:r>
      <w:r w:rsidR="000241AE" w:rsidRPr="007F382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měsíců v příslušném kalendářním roce) mimo území ČR, a to po celou dobu jejich nepřítomnosti. </w:t>
      </w:r>
    </w:p>
    <w:p w:rsidR="005120AA" w:rsidRPr="007F382E" w:rsidRDefault="005120AA" w:rsidP="0072348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je dítě narozené v daném kalendářním roce. </w:t>
      </w:r>
    </w:p>
    <w:p w:rsidR="0072348E" w:rsidRPr="007F382E" w:rsidRDefault="004E24D5" w:rsidP="0072348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je</w:t>
      </w:r>
      <w:r w:rsidR="0072348E" w:rsidRPr="007F382E">
        <w:rPr>
          <w:rFonts w:ascii="Arial" w:hAnsi="Arial" w:cs="Arial"/>
          <w:color w:val="000000" w:themeColor="text1"/>
          <w:sz w:val="22"/>
          <w:szCs w:val="22"/>
        </w:rPr>
        <w:t xml:space="preserve"> třetí a další dítě v rodině do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18 let </w:t>
      </w:r>
      <w:r w:rsidR="0072348E" w:rsidRPr="007F382E">
        <w:rPr>
          <w:rFonts w:ascii="Arial" w:hAnsi="Arial" w:cs="Arial"/>
          <w:color w:val="000000" w:themeColor="text1"/>
          <w:sz w:val="22"/>
          <w:szCs w:val="22"/>
        </w:rPr>
        <w:t>věku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348E" w:rsidRPr="007F382E">
        <w:rPr>
          <w:rFonts w:ascii="Arial" w:hAnsi="Arial" w:cs="Arial"/>
          <w:color w:val="000000" w:themeColor="text1"/>
          <w:sz w:val="22"/>
          <w:szCs w:val="22"/>
        </w:rPr>
        <w:t xml:space="preserve">včetně celého příslušného kalendářního roku, ve kterém 18 let věku dosáhlo. </w:t>
      </w:r>
    </w:p>
    <w:p w:rsidR="003E5852" w:rsidRPr="007F382E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7F382E">
        <w:rPr>
          <w:rFonts w:ascii="Arial" w:hAnsi="Arial" w:cs="Arial"/>
          <w:color w:val="000000" w:themeColor="text1"/>
          <w:sz w:val="22"/>
          <w:szCs w:val="22"/>
        </w:rPr>
        <w:t>,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67EB" w:rsidRPr="007F382E">
        <w:rPr>
          <w:rFonts w:ascii="Arial" w:hAnsi="Arial" w:cs="Arial"/>
          <w:color w:val="000000" w:themeColor="text1"/>
          <w:sz w:val="22"/>
          <w:szCs w:val="22"/>
        </w:rPr>
        <w:br/>
      </w:r>
      <w:r w:rsidRPr="007F382E">
        <w:rPr>
          <w:rFonts w:ascii="Arial" w:hAnsi="Arial" w:cs="Arial"/>
          <w:color w:val="000000" w:themeColor="text1"/>
          <w:sz w:val="22"/>
          <w:szCs w:val="22"/>
        </w:rPr>
        <w:t>a</w:t>
      </w:r>
      <w:r w:rsidR="00F71D1C" w:rsidRPr="007F382E">
        <w:rPr>
          <w:rFonts w:ascii="Arial" w:hAnsi="Arial" w:cs="Arial"/>
          <w:color w:val="000000" w:themeColor="text1"/>
          <w:sz w:val="22"/>
          <w:szCs w:val="22"/>
        </w:rPr>
        <w:t xml:space="preserve"> která </w:t>
      </w:r>
    </w:p>
    <w:p w:rsidR="008A2A89" w:rsidRPr="007F382E" w:rsidRDefault="008A2A89" w:rsidP="008A2A8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je z obtížně přístupných lokalit, kde není zajištěna likvidace komunálního odpadu prostřednictvím pravidelného odvozu oprávněnou osobou:</w:t>
      </w:r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 xml:space="preserve"> Benátky </w:t>
      </w:r>
      <w:proofErr w:type="gramStart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="00D74C29" w:rsidRPr="007F382E">
        <w:rPr>
          <w:rFonts w:ascii="Arial" w:hAnsi="Arial" w:cs="Arial"/>
          <w:color w:val="000000" w:themeColor="text1"/>
          <w:sz w:val="22"/>
          <w:szCs w:val="22"/>
        </w:rPr>
        <w:t xml:space="preserve"> 22,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Nový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lastRenderedPageBreak/>
        <w:t>Studenec č.p. 18,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 xml:space="preserve"> Nový Studenec č.p. 19, Stružinec č.p. 12, S</w:t>
      </w:r>
      <w:r w:rsidR="0084340B" w:rsidRPr="007F382E">
        <w:rPr>
          <w:rFonts w:ascii="Arial" w:hAnsi="Arial" w:cs="Arial"/>
          <w:color w:val="000000" w:themeColor="text1"/>
          <w:sz w:val="22"/>
          <w:szCs w:val="22"/>
        </w:rPr>
        <w:t xml:space="preserve">tružinec č.p. 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>15, Stružinec č.p. 23, Stružinec č.p. 28, Stružinec č.p. 31, Stružinec č.p. 32,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Údavy </w:t>
      </w:r>
      <w:proofErr w:type="spellStart"/>
      <w:r w:rsidRPr="007F382E">
        <w:rPr>
          <w:rFonts w:ascii="Arial" w:hAnsi="Arial" w:cs="Arial"/>
          <w:color w:val="000000" w:themeColor="text1"/>
          <w:sz w:val="22"/>
          <w:szCs w:val="22"/>
        </w:rPr>
        <w:t>e.č</w:t>
      </w:r>
      <w:proofErr w:type="spellEnd"/>
      <w:r w:rsidRPr="007F382E">
        <w:rPr>
          <w:rFonts w:ascii="Arial" w:hAnsi="Arial" w:cs="Arial"/>
          <w:color w:val="000000" w:themeColor="text1"/>
          <w:sz w:val="22"/>
          <w:szCs w:val="22"/>
        </w:rPr>
        <w:t>.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1, Údavy </w:t>
      </w:r>
      <w:proofErr w:type="spellStart"/>
      <w:r w:rsidRPr="007F382E">
        <w:rPr>
          <w:rFonts w:ascii="Arial" w:hAnsi="Arial" w:cs="Arial"/>
          <w:color w:val="000000" w:themeColor="text1"/>
          <w:sz w:val="22"/>
          <w:szCs w:val="22"/>
        </w:rPr>
        <w:t>e.č</w:t>
      </w:r>
      <w:proofErr w:type="spellEnd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. 2, </w:t>
      </w:r>
      <w:r w:rsidR="007A1609" w:rsidRPr="007F382E">
        <w:rPr>
          <w:rFonts w:ascii="Arial" w:hAnsi="Arial" w:cs="Arial"/>
          <w:color w:val="000000" w:themeColor="text1"/>
          <w:sz w:val="22"/>
          <w:szCs w:val="22"/>
        </w:rPr>
        <w:t>dále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 xml:space="preserve"> stavby pro rodinnou rekreaci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s čísly evidenčními v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rekreačn</w:t>
      </w:r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 xml:space="preserve">í oblasti Januš v </w:t>
      </w:r>
      <w:proofErr w:type="spellStart"/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FB7CBA" w:rsidRPr="007F382E">
        <w:rPr>
          <w:rFonts w:ascii="Arial" w:hAnsi="Arial" w:cs="Arial"/>
          <w:color w:val="000000" w:themeColor="text1"/>
          <w:sz w:val="22"/>
          <w:szCs w:val="22"/>
        </w:rPr>
        <w:t>. Stružinec.</w:t>
      </w:r>
    </w:p>
    <w:p w:rsidR="00490EEF" w:rsidRPr="007F382E" w:rsidRDefault="00B841A7" w:rsidP="00490EE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vlastní nemovitost zjevně neobyvatelnou </w:t>
      </w:r>
      <w:r w:rsidR="00490EEF" w:rsidRPr="007F382E">
        <w:rPr>
          <w:rFonts w:ascii="Arial" w:hAnsi="Arial" w:cs="Arial"/>
          <w:color w:val="000000" w:themeColor="text1"/>
          <w:sz w:val="22"/>
          <w:szCs w:val="22"/>
        </w:rPr>
        <w:t xml:space="preserve">na základě posouzení stavebního úřadu. </w:t>
      </w:r>
    </w:p>
    <w:p w:rsidR="004E24D5" w:rsidRDefault="00B841A7" w:rsidP="0097205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="004E24D5" w:rsidRPr="007F382E">
        <w:rPr>
          <w:rFonts w:ascii="Arial" w:hAnsi="Arial" w:cs="Arial"/>
          <w:color w:val="000000" w:themeColor="text1"/>
          <w:sz w:val="22"/>
          <w:szCs w:val="22"/>
        </w:rPr>
        <w:t xml:space="preserve">zároveň poplatník dle Čl. 2 odst. (1) písm. a) této vyhlášky s výjimkou poplatníků, kteří uvedenou nemovitost pronajímají osobě nebo osobám, které nejsou poplatníky Čl. 2, odst. (1), písm. a). </w:t>
      </w:r>
    </w:p>
    <w:p w:rsidR="0097205B" w:rsidRPr="009D0FF5" w:rsidRDefault="0097205B" w:rsidP="0097205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0FF5">
        <w:rPr>
          <w:rFonts w:ascii="Arial" w:hAnsi="Arial" w:cs="Arial"/>
          <w:color w:val="000000" w:themeColor="text1"/>
          <w:sz w:val="22"/>
          <w:szCs w:val="22"/>
        </w:rPr>
        <w:t>je právnickou osobou a byt, rodinný dům nebo stavbu pro rodinnou rekreaci pronajímá fyzické osobě přihlášené v obci.</w:t>
      </w:r>
    </w:p>
    <w:p w:rsidR="008B1911" w:rsidRPr="007F382E" w:rsidRDefault="00B669E2" w:rsidP="000E52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Údaj rozhodný pro osvobození</w:t>
      </w:r>
      <w:r w:rsidR="00314C4B"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dle čl. </w:t>
      </w:r>
      <w:r w:rsidR="00377F03" w:rsidRPr="007F382E">
        <w:rPr>
          <w:rFonts w:ascii="Arial" w:hAnsi="Arial" w:cs="Arial"/>
          <w:color w:val="000000" w:themeColor="text1"/>
          <w:sz w:val="22"/>
          <w:szCs w:val="22"/>
        </w:rPr>
        <w:t xml:space="preserve">7 odst. </w:t>
      </w:r>
      <w:r w:rsidR="00BF4F3E" w:rsidRPr="007F382E">
        <w:rPr>
          <w:rFonts w:ascii="Arial" w:hAnsi="Arial" w:cs="Arial"/>
          <w:color w:val="000000" w:themeColor="text1"/>
          <w:sz w:val="22"/>
          <w:szCs w:val="22"/>
        </w:rPr>
        <w:t xml:space="preserve">1, </w:t>
      </w:r>
      <w:r w:rsidR="00377F03" w:rsidRPr="007F382E">
        <w:rPr>
          <w:rFonts w:ascii="Arial" w:hAnsi="Arial" w:cs="Arial"/>
          <w:color w:val="000000" w:themeColor="text1"/>
          <w:sz w:val="22"/>
          <w:szCs w:val="22"/>
        </w:rPr>
        <w:t>odst. 2 písm. b</w:t>
      </w:r>
      <w:r w:rsidR="00BF4F3E"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2F49" w:rsidRPr="007F38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4F3E" w:rsidRPr="007F382E">
        <w:rPr>
          <w:rFonts w:ascii="Arial" w:hAnsi="Arial" w:cs="Arial"/>
          <w:color w:val="000000" w:themeColor="text1"/>
          <w:sz w:val="22"/>
          <w:szCs w:val="22"/>
        </w:rPr>
        <w:t>je</w:t>
      </w:r>
      <w:r w:rsidR="0089067F" w:rsidRPr="007F382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F4F3E" w:rsidRPr="007F382E">
        <w:rPr>
          <w:rFonts w:ascii="Arial" w:hAnsi="Arial" w:cs="Arial"/>
          <w:color w:val="000000" w:themeColor="text1"/>
          <w:sz w:val="22"/>
          <w:szCs w:val="22"/>
        </w:rPr>
        <w:t>poplatník povinen ohlásit do konce příslušného kalendářního roku.</w:t>
      </w:r>
    </w:p>
    <w:p w:rsidR="00B669E2" w:rsidRPr="007F382E" w:rsidRDefault="00BF4F3E" w:rsidP="003C791B">
      <w:pPr>
        <w:tabs>
          <w:tab w:val="left" w:pos="3780"/>
        </w:tabs>
        <w:spacing w:line="264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</w:p>
    <w:p w:rsidR="0089067F" w:rsidRPr="007F382E" w:rsidRDefault="00F71D1C" w:rsidP="000E52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</w:t>
      </w:r>
      <w:r w:rsidR="00314C4B" w:rsidRPr="007F382E">
        <w:rPr>
          <w:rFonts w:ascii="Arial" w:hAnsi="Arial" w:cs="Arial"/>
          <w:color w:val="000000" w:themeColor="text1"/>
          <w:sz w:val="22"/>
          <w:szCs w:val="22"/>
        </w:rPr>
        <w:t xml:space="preserve">hodný pro osvobození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ve lhůtách stanovených touto vyhláškou nebo zá</w:t>
      </w:r>
      <w:r w:rsidR="00314C4B" w:rsidRPr="007F382E">
        <w:rPr>
          <w:rFonts w:ascii="Arial" w:hAnsi="Arial" w:cs="Arial"/>
          <w:color w:val="000000" w:themeColor="text1"/>
          <w:sz w:val="22"/>
          <w:szCs w:val="22"/>
        </w:rPr>
        <w:t xml:space="preserve">konem, nárok na osvobození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zaniká.</w:t>
      </w:r>
    </w:p>
    <w:p w:rsidR="00131160" w:rsidRPr="007F382E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8</w:t>
      </w:r>
    </w:p>
    <w:p w:rsidR="00131160" w:rsidRPr="007F382E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Navýšení poplatku</w:t>
      </w:r>
      <w:r w:rsidRPr="007F382E">
        <w:rPr>
          <w:color w:val="000000" w:themeColor="text1"/>
        </w:rPr>
        <w:t xml:space="preserve"> </w:t>
      </w:r>
    </w:p>
    <w:p w:rsidR="00131160" w:rsidRPr="007F382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Nebudou-li poplatky zaplaceny poplatníkem včas nebo ve správné výši, vyměří mu </w:t>
      </w:r>
      <w:r w:rsidR="008A2F12" w:rsidRPr="007F382E">
        <w:rPr>
          <w:rFonts w:ascii="Arial" w:hAnsi="Arial" w:cs="Arial"/>
          <w:color w:val="000000" w:themeColor="text1"/>
          <w:sz w:val="22"/>
          <w:szCs w:val="22"/>
        </w:rPr>
        <w:t>správce poplatku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poplatek platebním výměrem</w:t>
      </w:r>
      <w:r w:rsidR="000A2391" w:rsidRPr="007F382E">
        <w:rPr>
          <w:rFonts w:ascii="Arial" w:hAnsi="Arial" w:cs="Arial"/>
          <w:color w:val="000000" w:themeColor="text1"/>
          <w:sz w:val="22"/>
          <w:szCs w:val="22"/>
        </w:rPr>
        <w:t xml:space="preserve"> nebo hromadným předpisným seznamem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3"/>
      </w:r>
    </w:p>
    <w:p w:rsidR="00300CCD" w:rsidRPr="007F382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Včas nezaplacené poplatky nebo část těchto poplatků může </w:t>
      </w:r>
      <w:r w:rsidR="008A2F12" w:rsidRPr="007F382E">
        <w:rPr>
          <w:rFonts w:ascii="Arial" w:hAnsi="Arial" w:cs="Arial"/>
          <w:color w:val="000000" w:themeColor="text1"/>
          <w:sz w:val="22"/>
          <w:szCs w:val="22"/>
        </w:rPr>
        <w:t>správce poplatku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zvýšit až na trojnásobek; toto zvýšení je příslušenstvím poplatku</w:t>
      </w:r>
      <w:r w:rsidR="00985BFB" w:rsidRPr="007F382E">
        <w:rPr>
          <w:rFonts w:ascii="Arial" w:hAnsi="Arial" w:cs="Arial"/>
          <w:color w:val="000000" w:themeColor="text1"/>
          <w:sz w:val="22"/>
          <w:szCs w:val="22"/>
        </w:rPr>
        <w:t xml:space="preserve"> sledujícím jeho osud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4"/>
      </w:r>
    </w:p>
    <w:p w:rsidR="007A65BA" w:rsidRPr="007F382E" w:rsidRDefault="007A65BA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9</w:t>
      </w:r>
    </w:p>
    <w:p w:rsidR="007A65BA" w:rsidRPr="007F382E" w:rsidRDefault="007A65BA" w:rsidP="007F382E">
      <w:pPr>
        <w:pStyle w:val="sla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Odpovědnost za zaplacení poplatku</w:t>
      </w:r>
      <w:r w:rsidR="004F6539"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5"/>
      </w:r>
    </w:p>
    <w:p w:rsidR="007A65BA" w:rsidRPr="007F382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Vznikne-li nedoplatek na poplatku poplatníkovi, který je ke dni splatnosti nezletilý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br/>
        <w:t xml:space="preserve">a nenabyl plné svéprávnosti nebo který je ke dni splatnosti omezen ve svéprávnosti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F382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A65BA" w:rsidRPr="007F382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V případě podle odstavce 1 vyměří </w:t>
      </w:r>
      <w:r w:rsidR="008A2F12" w:rsidRPr="007F382E">
        <w:rPr>
          <w:rFonts w:ascii="Arial" w:hAnsi="Arial" w:cs="Arial"/>
          <w:color w:val="000000" w:themeColor="text1"/>
          <w:sz w:val="22"/>
          <w:szCs w:val="22"/>
        </w:rPr>
        <w:t>správce poplatku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poplatek zákon</w:t>
      </w:r>
      <w:r w:rsidR="005D3C5A" w:rsidRPr="007F382E">
        <w:rPr>
          <w:rFonts w:ascii="Arial" w:hAnsi="Arial" w:cs="Arial"/>
          <w:color w:val="000000" w:themeColor="text1"/>
          <w:sz w:val="22"/>
          <w:szCs w:val="22"/>
        </w:rPr>
        <w:t>nému zástupci nebo opatrovníkovi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poplatníka</w:t>
      </w:r>
      <w:r w:rsidR="007A65BA" w:rsidRPr="007F382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333C1" w:rsidRPr="007F382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7F382E" w:rsidRDefault="006146CA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 xml:space="preserve">Čl. </w:t>
      </w:r>
      <w:r w:rsidR="00CD0C08" w:rsidRPr="007F382E">
        <w:rPr>
          <w:rFonts w:ascii="Arial" w:hAnsi="Arial" w:cs="Arial"/>
          <w:color w:val="000000" w:themeColor="text1"/>
        </w:rPr>
        <w:t>10</w:t>
      </w:r>
    </w:p>
    <w:p w:rsidR="006146CA" w:rsidRPr="007F382E" w:rsidRDefault="00B76495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Společná ustanovení</w:t>
      </w:r>
    </w:p>
    <w:p w:rsidR="00D042DD" w:rsidRPr="007F382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6"/>
      </w:r>
    </w:p>
    <w:p w:rsidR="00D042DD" w:rsidRPr="007F382E" w:rsidRDefault="00B07EEB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Na </w:t>
      </w:r>
      <w:proofErr w:type="spellStart"/>
      <w:r w:rsidRPr="007F382E">
        <w:rPr>
          <w:rFonts w:ascii="Arial" w:hAnsi="Arial" w:cs="Arial"/>
          <w:color w:val="000000" w:themeColor="text1"/>
          <w:sz w:val="22"/>
          <w:szCs w:val="22"/>
        </w:rPr>
        <w:t>svěřens</w:t>
      </w:r>
      <w:r w:rsidR="00D042DD" w:rsidRPr="007F382E">
        <w:rPr>
          <w:rFonts w:ascii="Arial" w:hAnsi="Arial" w:cs="Arial"/>
          <w:color w:val="000000" w:themeColor="text1"/>
          <w:sz w:val="22"/>
          <w:szCs w:val="22"/>
        </w:rPr>
        <w:t>ký</w:t>
      </w:r>
      <w:proofErr w:type="spellEnd"/>
      <w:r w:rsidR="00D042DD" w:rsidRPr="007F382E">
        <w:rPr>
          <w:rFonts w:ascii="Arial" w:hAnsi="Arial" w:cs="Arial"/>
          <w:color w:val="000000" w:themeColor="text1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="00D042DD" w:rsidRPr="007F382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7"/>
      </w:r>
    </w:p>
    <w:p w:rsidR="00D042DD" w:rsidRPr="007F382E" w:rsidRDefault="00D042DD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Čl. 1</w:t>
      </w:r>
      <w:r w:rsidR="00CD0C08" w:rsidRPr="007F382E">
        <w:rPr>
          <w:rFonts w:ascii="Arial" w:hAnsi="Arial" w:cs="Arial"/>
          <w:color w:val="000000" w:themeColor="text1"/>
        </w:rPr>
        <w:t>1</w:t>
      </w:r>
    </w:p>
    <w:p w:rsidR="00131160" w:rsidRPr="007F382E" w:rsidRDefault="00752037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Přechodná</w:t>
      </w:r>
      <w:r w:rsidR="00EE07B0" w:rsidRPr="007F382E">
        <w:rPr>
          <w:rFonts w:ascii="Arial" w:hAnsi="Arial" w:cs="Arial"/>
          <w:color w:val="000000" w:themeColor="text1"/>
        </w:rPr>
        <w:t xml:space="preserve"> </w:t>
      </w:r>
      <w:r w:rsidR="00131160" w:rsidRPr="007F382E">
        <w:rPr>
          <w:rFonts w:ascii="Arial" w:hAnsi="Arial" w:cs="Arial"/>
          <w:color w:val="000000" w:themeColor="text1"/>
        </w:rPr>
        <w:t>ustanovení</w:t>
      </w:r>
    </w:p>
    <w:p w:rsidR="0099250E" w:rsidRPr="007F382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Údaje ohlášené poplatníkem </w:t>
      </w:r>
      <w:bookmarkStart w:id="1" w:name="_Hlk54596575"/>
      <w:r w:rsidRPr="007F382E">
        <w:rPr>
          <w:rFonts w:ascii="Arial" w:hAnsi="Arial" w:cs="Arial"/>
          <w:color w:val="000000" w:themeColor="text1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F382E">
        <w:rPr>
          <w:rFonts w:ascii="Arial" w:hAnsi="Arial" w:cs="Arial"/>
          <w:color w:val="000000" w:themeColor="text1"/>
          <w:sz w:val="22"/>
          <w:szCs w:val="22"/>
        </w:rPr>
        <w:t>4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odst. 1 této vyhlášky.</w:t>
      </w:r>
    </w:p>
    <w:p w:rsidR="00EE07B0" w:rsidRPr="007F382E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</w:t>
      </w:r>
      <w:r w:rsidR="005E7B72" w:rsidRPr="007F382E">
        <w:rPr>
          <w:rFonts w:ascii="Arial" w:hAnsi="Arial" w:cs="Arial"/>
          <w:color w:val="000000" w:themeColor="text1"/>
          <w:sz w:val="22"/>
          <w:szCs w:val="22"/>
        </w:rPr>
        <w:t>i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této vyhlášky se posuzují </w:t>
      </w:r>
      <w:r w:rsidR="001B6CD8" w:rsidRPr="007F382E">
        <w:rPr>
          <w:rFonts w:ascii="Arial" w:hAnsi="Arial" w:cs="Arial"/>
          <w:color w:val="000000" w:themeColor="text1"/>
          <w:sz w:val="22"/>
          <w:szCs w:val="22"/>
        </w:rPr>
        <w:t>po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="001B6CD8" w:rsidRPr="007F382E">
        <w:rPr>
          <w:rFonts w:ascii="Arial" w:hAnsi="Arial" w:cs="Arial"/>
          <w:color w:val="000000" w:themeColor="text1"/>
          <w:sz w:val="22"/>
          <w:szCs w:val="22"/>
        </w:rPr>
        <w:t xml:space="preserve">dosavadních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právních předpisů</w:t>
      </w:r>
      <w:r w:rsidR="00A05EA6" w:rsidRPr="007F382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658CA" w:rsidRPr="007F382E" w:rsidRDefault="005523AF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Čl. 1</w:t>
      </w:r>
      <w:r w:rsidR="00CD0C08" w:rsidRPr="007F382E">
        <w:rPr>
          <w:rFonts w:ascii="Arial" w:hAnsi="Arial" w:cs="Arial"/>
          <w:color w:val="000000" w:themeColor="text1"/>
        </w:rPr>
        <w:t>2</w:t>
      </w:r>
    </w:p>
    <w:p w:rsidR="008658CA" w:rsidRPr="007F382E" w:rsidRDefault="008658CA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7F382E">
        <w:rPr>
          <w:rFonts w:ascii="Arial" w:hAnsi="Arial" w:cs="Arial"/>
          <w:color w:val="000000" w:themeColor="text1"/>
        </w:rPr>
        <w:t>Zrušovací ustanovení</w:t>
      </w:r>
    </w:p>
    <w:p w:rsidR="008658CA" w:rsidRPr="009D0FF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4595723"/>
      <w:r w:rsidRPr="009D0FF5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2"/>
      <w:r w:rsidRPr="009D0FF5">
        <w:rPr>
          <w:rFonts w:ascii="Arial" w:hAnsi="Arial" w:cs="Arial"/>
          <w:color w:val="000000" w:themeColor="text1"/>
          <w:sz w:val="22"/>
          <w:szCs w:val="22"/>
        </w:rPr>
        <w:t>č.</w:t>
      </w:r>
      <w:r w:rsidR="00650543" w:rsidRPr="009D0FF5">
        <w:rPr>
          <w:rFonts w:ascii="Arial" w:hAnsi="Arial" w:cs="Arial"/>
          <w:color w:val="000000" w:themeColor="text1"/>
          <w:sz w:val="22"/>
          <w:szCs w:val="22"/>
        </w:rPr>
        <w:t xml:space="preserve"> 4/2021 ze dne 9. 12. 2021</w:t>
      </w:r>
      <w:r w:rsidRPr="009D0F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31160" w:rsidRPr="009D0FF5" w:rsidRDefault="00131160" w:rsidP="007F382E">
      <w:pPr>
        <w:pStyle w:val="slalnk"/>
        <w:spacing w:before="240" w:after="0"/>
        <w:rPr>
          <w:rFonts w:ascii="Arial" w:hAnsi="Arial" w:cs="Arial"/>
          <w:color w:val="000000" w:themeColor="text1"/>
        </w:rPr>
      </w:pPr>
      <w:r w:rsidRPr="009D0FF5">
        <w:rPr>
          <w:rFonts w:ascii="Arial" w:hAnsi="Arial" w:cs="Arial"/>
          <w:color w:val="000000" w:themeColor="text1"/>
        </w:rPr>
        <w:t xml:space="preserve">Čl. </w:t>
      </w:r>
      <w:r w:rsidR="005523AF" w:rsidRPr="009D0FF5">
        <w:rPr>
          <w:rFonts w:ascii="Arial" w:hAnsi="Arial" w:cs="Arial"/>
          <w:color w:val="000000" w:themeColor="text1"/>
        </w:rPr>
        <w:t>1</w:t>
      </w:r>
      <w:r w:rsidR="00211F22" w:rsidRPr="009D0FF5">
        <w:rPr>
          <w:rFonts w:ascii="Arial" w:hAnsi="Arial" w:cs="Arial"/>
          <w:color w:val="000000" w:themeColor="text1"/>
        </w:rPr>
        <w:t>3</w:t>
      </w:r>
    </w:p>
    <w:p w:rsidR="00131160" w:rsidRPr="009D0FF5" w:rsidRDefault="00131160" w:rsidP="007F382E">
      <w:pPr>
        <w:pStyle w:val="Nzvylnk"/>
        <w:spacing w:before="0" w:after="120"/>
        <w:rPr>
          <w:rFonts w:ascii="Arial" w:hAnsi="Arial" w:cs="Arial"/>
          <w:color w:val="000000" w:themeColor="text1"/>
        </w:rPr>
      </w:pPr>
      <w:r w:rsidRPr="009D0FF5">
        <w:rPr>
          <w:rFonts w:ascii="Arial" w:hAnsi="Arial" w:cs="Arial"/>
          <w:color w:val="000000" w:themeColor="text1"/>
        </w:rPr>
        <w:t>Účinnost</w:t>
      </w:r>
    </w:p>
    <w:p w:rsidR="008D6906" w:rsidRPr="009D0FF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0FF5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dnem </w:t>
      </w:r>
      <w:r w:rsidR="00650543" w:rsidRPr="009D0FF5">
        <w:rPr>
          <w:rFonts w:ascii="Arial" w:hAnsi="Arial" w:cs="Arial"/>
          <w:color w:val="000000" w:themeColor="text1"/>
          <w:sz w:val="22"/>
          <w:szCs w:val="22"/>
        </w:rPr>
        <w:t>1. 1. 2023</w:t>
      </w:r>
      <w:r w:rsidR="00684D1D" w:rsidRPr="009D0F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B5BB1" w:rsidRPr="007F382E" w:rsidRDefault="00DB5BB1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7723" w:rsidRPr="007F382E" w:rsidRDefault="00357723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7723" w:rsidRPr="007F382E" w:rsidRDefault="00357723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7723" w:rsidRPr="007F382E" w:rsidRDefault="00357723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160" w:rsidRPr="007F382E" w:rsidRDefault="008B191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 xml:space="preserve">          Ing. František Němec</w:t>
      </w:r>
      <w:r w:rsidR="009D0FF5">
        <w:rPr>
          <w:rFonts w:ascii="Arial" w:hAnsi="Arial" w:cs="Arial"/>
          <w:color w:val="000000" w:themeColor="text1"/>
          <w:sz w:val="22"/>
          <w:szCs w:val="22"/>
        </w:rPr>
        <w:t xml:space="preserve">, v. r.  </w:t>
      </w:r>
      <w:r w:rsidR="009D0FF5">
        <w:rPr>
          <w:rFonts w:ascii="Arial" w:hAnsi="Arial" w:cs="Arial"/>
          <w:color w:val="000000" w:themeColor="text1"/>
          <w:sz w:val="22"/>
          <w:szCs w:val="22"/>
        </w:rPr>
        <w:tab/>
      </w:r>
      <w:r w:rsidRPr="007F382E">
        <w:rPr>
          <w:rFonts w:ascii="Arial" w:hAnsi="Arial" w:cs="Arial"/>
          <w:color w:val="000000" w:themeColor="text1"/>
          <w:sz w:val="22"/>
          <w:szCs w:val="22"/>
        </w:rPr>
        <w:t>Ing. Bohumír Nikl</w:t>
      </w:r>
      <w:r w:rsidR="009D0FF5">
        <w:rPr>
          <w:rFonts w:ascii="Arial" w:hAnsi="Arial" w:cs="Arial"/>
          <w:color w:val="000000" w:themeColor="text1"/>
          <w:sz w:val="22"/>
          <w:szCs w:val="22"/>
        </w:rPr>
        <w:t>, v. r.</w:t>
      </w:r>
    </w:p>
    <w:p w:rsidR="00131160" w:rsidRPr="007F38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7F382E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ab/>
      </w:r>
      <w:r w:rsidR="009D0FF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7F382E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:rsidR="00131160" w:rsidRPr="007F38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131160" w:rsidRPr="007F382E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33" w:rsidRDefault="00EC6633">
      <w:r>
        <w:separator/>
      </w:r>
    </w:p>
  </w:endnote>
  <w:endnote w:type="continuationSeparator" w:id="0">
    <w:p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0587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33" w:rsidRDefault="00EC6633">
      <w:r>
        <w:separator/>
      </w:r>
    </w:p>
  </w:footnote>
  <w:footnote w:type="continuationSeparator" w:id="0">
    <w:p w:rsidR="00EC6633" w:rsidRDefault="00EC663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87" w:rsidRPr="00D50587" w:rsidRDefault="00D50587" w:rsidP="00D50587">
    <w:pPr>
      <w:pStyle w:val="Zhlav"/>
      <w:jc w:val="right"/>
      <w:rPr>
        <w:rFonts w:ascii="Arial" w:hAnsi="Arial" w:cs="Arial"/>
        <w:sz w:val="20"/>
      </w:rPr>
    </w:pPr>
    <w:r w:rsidRPr="00D50587">
      <w:rPr>
        <w:rFonts w:ascii="Arial" w:hAnsi="Arial" w:cs="Arial"/>
        <w:sz w:val="20"/>
      </w:rPr>
      <w:t xml:space="preserve">JID: MZ-eObec-D22/05491   </w:t>
    </w:r>
    <w:proofErr w:type="gramStart"/>
    <w:r w:rsidRPr="00D50587">
      <w:rPr>
        <w:rFonts w:ascii="Arial" w:hAnsi="Arial" w:cs="Arial"/>
        <w:sz w:val="20"/>
      </w:rPr>
      <w:t>č.j.</w:t>
    </w:r>
    <w:proofErr w:type="gramEnd"/>
    <w:r w:rsidRPr="00D50587">
      <w:rPr>
        <w:rFonts w:ascii="Arial" w:hAnsi="Arial" w:cs="Arial"/>
        <w:sz w:val="20"/>
      </w:rPr>
      <w:t xml:space="preserve">  MŽ/1722/2022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F1D8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531679"/>
    <w:multiLevelType w:val="hybridMultilevel"/>
    <w:tmpl w:val="B43AAF1A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9D8"/>
    <w:rsid w:val="00003224"/>
    <w:rsid w:val="00006AFB"/>
    <w:rsid w:val="00010B51"/>
    <w:rsid w:val="000129AF"/>
    <w:rsid w:val="000166A8"/>
    <w:rsid w:val="00017B56"/>
    <w:rsid w:val="00021F63"/>
    <w:rsid w:val="000241AE"/>
    <w:rsid w:val="000345D5"/>
    <w:rsid w:val="000408D0"/>
    <w:rsid w:val="00040EA6"/>
    <w:rsid w:val="000538DD"/>
    <w:rsid w:val="000566F2"/>
    <w:rsid w:val="00065D79"/>
    <w:rsid w:val="00066D7D"/>
    <w:rsid w:val="0007566F"/>
    <w:rsid w:val="0008238C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294"/>
    <w:rsid w:val="000E741B"/>
    <w:rsid w:val="000F2F4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452"/>
    <w:rsid w:val="001B36E4"/>
    <w:rsid w:val="001B48A8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DF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C4B"/>
    <w:rsid w:val="00322107"/>
    <w:rsid w:val="003310BE"/>
    <w:rsid w:val="0033112D"/>
    <w:rsid w:val="00331F03"/>
    <w:rsid w:val="003338CC"/>
    <w:rsid w:val="00342E31"/>
    <w:rsid w:val="00350372"/>
    <w:rsid w:val="00357723"/>
    <w:rsid w:val="0036194E"/>
    <w:rsid w:val="00362A72"/>
    <w:rsid w:val="00363015"/>
    <w:rsid w:val="00371501"/>
    <w:rsid w:val="00371A61"/>
    <w:rsid w:val="00377F0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B6C"/>
    <w:rsid w:val="003E3347"/>
    <w:rsid w:val="003E4DB7"/>
    <w:rsid w:val="003E5852"/>
    <w:rsid w:val="003E7159"/>
    <w:rsid w:val="003F03CB"/>
    <w:rsid w:val="003F49C0"/>
    <w:rsid w:val="003F7F1D"/>
    <w:rsid w:val="00402CA3"/>
    <w:rsid w:val="0041158E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3AD"/>
    <w:rsid w:val="004863D0"/>
    <w:rsid w:val="00490EE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4D5"/>
    <w:rsid w:val="004E2C06"/>
    <w:rsid w:val="004E7115"/>
    <w:rsid w:val="004F1F1F"/>
    <w:rsid w:val="004F321B"/>
    <w:rsid w:val="004F6539"/>
    <w:rsid w:val="004F6661"/>
    <w:rsid w:val="00500A52"/>
    <w:rsid w:val="005043AA"/>
    <w:rsid w:val="00504C32"/>
    <w:rsid w:val="005120AA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B1C"/>
    <w:rsid w:val="006402B9"/>
    <w:rsid w:val="0064305E"/>
    <w:rsid w:val="0064692B"/>
    <w:rsid w:val="00650483"/>
    <w:rsid w:val="00650543"/>
    <w:rsid w:val="00652F4D"/>
    <w:rsid w:val="00656B22"/>
    <w:rsid w:val="006679FA"/>
    <w:rsid w:val="0067325B"/>
    <w:rsid w:val="00675992"/>
    <w:rsid w:val="00677447"/>
    <w:rsid w:val="00684D1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63F"/>
    <w:rsid w:val="00722383"/>
    <w:rsid w:val="0072348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60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82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40B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67F"/>
    <w:rsid w:val="00897430"/>
    <w:rsid w:val="008A2A89"/>
    <w:rsid w:val="008A2F12"/>
    <w:rsid w:val="008A4F7A"/>
    <w:rsid w:val="008B0A2C"/>
    <w:rsid w:val="008B1911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85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5B"/>
    <w:rsid w:val="009820E8"/>
    <w:rsid w:val="00985BFB"/>
    <w:rsid w:val="0099250E"/>
    <w:rsid w:val="00993DD9"/>
    <w:rsid w:val="009954F5"/>
    <w:rsid w:val="009A3470"/>
    <w:rsid w:val="009A488E"/>
    <w:rsid w:val="009C5833"/>
    <w:rsid w:val="009D02DA"/>
    <w:rsid w:val="009D0F92"/>
    <w:rsid w:val="009D0FF5"/>
    <w:rsid w:val="009D1457"/>
    <w:rsid w:val="009D238D"/>
    <w:rsid w:val="009D39EA"/>
    <w:rsid w:val="009E0512"/>
    <w:rsid w:val="009E188F"/>
    <w:rsid w:val="009E26C9"/>
    <w:rsid w:val="009E745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0771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EEB"/>
    <w:rsid w:val="00B10E4F"/>
    <w:rsid w:val="00B36221"/>
    <w:rsid w:val="00B369A7"/>
    <w:rsid w:val="00B47464"/>
    <w:rsid w:val="00B63BFF"/>
    <w:rsid w:val="00B669E2"/>
    <w:rsid w:val="00B66C8E"/>
    <w:rsid w:val="00B71306"/>
    <w:rsid w:val="00B75719"/>
    <w:rsid w:val="00B76495"/>
    <w:rsid w:val="00B806F8"/>
    <w:rsid w:val="00B82D08"/>
    <w:rsid w:val="00B841A7"/>
    <w:rsid w:val="00B86441"/>
    <w:rsid w:val="00BA1E8D"/>
    <w:rsid w:val="00BB3316"/>
    <w:rsid w:val="00BB58E3"/>
    <w:rsid w:val="00BC17DA"/>
    <w:rsid w:val="00BC3CDA"/>
    <w:rsid w:val="00BF4F3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8C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587"/>
    <w:rsid w:val="00D50DA9"/>
    <w:rsid w:val="00D55526"/>
    <w:rsid w:val="00D5659B"/>
    <w:rsid w:val="00D57E6E"/>
    <w:rsid w:val="00D6303C"/>
    <w:rsid w:val="00D64083"/>
    <w:rsid w:val="00D727CA"/>
    <w:rsid w:val="00D74C29"/>
    <w:rsid w:val="00D91D9B"/>
    <w:rsid w:val="00D92F64"/>
    <w:rsid w:val="00DA614B"/>
    <w:rsid w:val="00DB0904"/>
    <w:rsid w:val="00DB2C2A"/>
    <w:rsid w:val="00DB2E35"/>
    <w:rsid w:val="00DB5BB1"/>
    <w:rsid w:val="00DC09AE"/>
    <w:rsid w:val="00DC10A6"/>
    <w:rsid w:val="00DC5344"/>
    <w:rsid w:val="00DD0001"/>
    <w:rsid w:val="00DD09F5"/>
    <w:rsid w:val="00DD4217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62D"/>
    <w:rsid w:val="00E16F29"/>
    <w:rsid w:val="00E200CC"/>
    <w:rsid w:val="00E244C7"/>
    <w:rsid w:val="00E24E24"/>
    <w:rsid w:val="00E269DD"/>
    <w:rsid w:val="00E40C1C"/>
    <w:rsid w:val="00E42A3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17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019D"/>
    <w:rsid w:val="00F91DE1"/>
    <w:rsid w:val="00F94C52"/>
    <w:rsid w:val="00FB319D"/>
    <w:rsid w:val="00FB336E"/>
    <w:rsid w:val="00FB7CBA"/>
    <w:rsid w:val="00FC4FAC"/>
    <w:rsid w:val="00FD27E1"/>
    <w:rsid w:val="00FE34F1"/>
    <w:rsid w:val="00FF15FF"/>
    <w:rsid w:val="00FF3B40"/>
    <w:rsid w:val="00FF564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7B2CE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8130-CB9C-4908-9B69-75596067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1423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</cp:lastModifiedBy>
  <cp:revision>4</cp:revision>
  <cp:lastPrinted>2022-12-07T12:22:00Z</cp:lastPrinted>
  <dcterms:created xsi:type="dcterms:W3CDTF">2022-12-14T08:57:00Z</dcterms:created>
  <dcterms:modified xsi:type="dcterms:W3CDTF">2022-12-14T12:39:00Z</dcterms:modified>
</cp:coreProperties>
</file>