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64" w:rsidRPr="00682577" w:rsidRDefault="00E41998" w:rsidP="00E27364">
      <w:pPr>
        <w:jc w:val="center"/>
        <w:outlineLvl w:val="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O B E C   S T R U P Č I C E</w:t>
      </w:r>
    </w:p>
    <w:p w:rsidR="00E27364" w:rsidRPr="00F95205" w:rsidRDefault="00E27364" w:rsidP="00E27364">
      <w:pPr>
        <w:jc w:val="center"/>
      </w:pPr>
    </w:p>
    <w:p w:rsidR="00E27364" w:rsidRDefault="00E27364" w:rsidP="00E2736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E41998">
        <w:rPr>
          <w:b/>
          <w:sz w:val="32"/>
          <w:szCs w:val="32"/>
        </w:rPr>
        <w:t>OBCE STRUPČICE</w:t>
      </w:r>
    </w:p>
    <w:p w:rsidR="00200777" w:rsidRPr="00B468C2" w:rsidRDefault="00200777" w:rsidP="00200777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</w:rPr>
      </w:pPr>
    </w:p>
    <w:p w:rsidR="001B7706" w:rsidRPr="00E130A8" w:rsidRDefault="001B7706" w:rsidP="00200777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  <w:sz w:val="32"/>
          <w:szCs w:val="32"/>
        </w:rPr>
      </w:pPr>
      <w:r w:rsidRPr="00E130A8">
        <w:rPr>
          <w:rFonts w:ascii="Times New Roman" w:hAnsi="Times New Roman" w:cs="Times New Roman" w:hint="default"/>
          <w:b/>
          <w:bCs/>
          <w:sz w:val="32"/>
          <w:szCs w:val="32"/>
        </w:rPr>
        <w:t xml:space="preserve">Obecně závazná vyhláška č. </w:t>
      </w:r>
      <w:r w:rsidR="009E79BF">
        <w:rPr>
          <w:rFonts w:ascii="Times New Roman" w:hAnsi="Times New Roman" w:cs="Times New Roman" w:hint="default"/>
          <w:b/>
          <w:bCs/>
          <w:sz w:val="32"/>
          <w:szCs w:val="32"/>
        </w:rPr>
        <w:t>2</w:t>
      </w:r>
      <w:r w:rsidRPr="00E130A8">
        <w:rPr>
          <w:rFonts w:ascii="Times New Roman" w:hAnsi="Times New Roman" w:cs="Times New Roman" w:hint="default"/>
          <w:b/>
          <w:bCs/>
          <w:sz w:val="32"/>
          <w:szCs w:val="32"/>
        </w:rPr>
        <w:t>/20</w:t>
      </w:r>
      <w:r w:rsidR="00E41998">
        <w:rPr>
          <w:rFonts w:ascii="Times New Roman" w:hAnsi="Times New Roman" w:cs="Times New Roman" w:hint="default"/>
          <w:b/>
          <w:bCs/>
          <w:sz w:val="32"/>
          <w:szCs w:val="32"/>
        </w:rPr>
        <w:t>20</w:t>
      </w:r>
      <w:r w:rsidRPr="00E130A8">
        <w:rPr>
          <w:rFonts w:ascii="Times New Roman" w:hAnsi="Times New Roman" w:cs="Times New Roman" w:hint="default"/>
          <w:b/>
          <w:bCs/>
          <w:sz w:val="32"/>
          <w:szCs w:val="32"/>
        </w:rPr>
        <w:t>,</w:t>
      </w:r>
    </w:p>
    <w:p w:rsidR="00200777" w:rsidRPr="00E130A8" w:rsidRDefault="00200777" w:rsidP="00200777">
      <w:pPr>
        <w:pStyle w:val="Zkladntext"/>
        <w:jc w:val="center"/>
        <w:rPr>
          <w:b/>
          <w:bCs/>
        </w:rPr>
      </w:pPr>
    </w:p>
    <w:p w:rsidR="001B7706" w:rsidRPr="00E130A8" w:rsidRDefault="001B7706" w:rsidP="00200777">
      <w:pPr>
        <w:pStyle w:val="Zkladntext"/>
        <w:jc w:val="center"/>
        <w:rPr>
          <w:b/>
          <w:bCs/>
          <w:sz w:val="28"/>
        </w:rPr>
      </w:pPr>
      <w:r w:rsidRPr="00E130A8">
        <w:rPr>
          <w:b/>
          <w:bCs/>
          <w:sz w:val="28"/>
        </w:rPr>
        <w:t xml:space="preserve">kterou se upravují pravidla pro pohyb psů na veřejných prostranstvích </w:t>
      </w:r>
    </w:p>
    <w:p w:rsidR="00783F0F" w:rsidRDefault="00783F0F" w:rsidP="00200777">
      <w:pPr>
        <w:pStyle w:val="Zkladntext"/>
        <w:rPr>
          <w:b/>
          <w:bCs/>
        </w:rPr>
      </w:pPr>
    </w:p>
    <w:p w:rsidR="00205848" w:rsidRPr="00E27364" w:rsidRDefault="00205848" w:rsidP="00200777">
      <w:pPr>
        <w:pStyle w:val="Zkladntext"/>
        <w:rPr>
          <w:b/>
          <w:bCs/>
        </w:rPr>
      </w:pPr>
    </w:p>
    <w:p w:rsidR="001B7706" w:rsidRPr="00E130A8" w:rsidRDefault="001B7706" w:rsidP="00200777">
      <w:pPr>
        <w:pStyle w:val="Zkladntext"/>
        <w:rPr>
          <w:i/>
        </w:rPr>
      </w:pPr>
      <w:r w:rsidRPr="00E130A8">
        <w:rPr>
          <w:i/>
        </w:rPr>
        <w:t xml:space="preserve">Zastupitelstvo </w:t>
      </w:r>
      <w:r w:rsidR="00E41998">
        <w:rPr>
          <w:i/>
        </w:rPr>
        <w:t>obce Strupčice</w:t>
      </w:r>
      <w:r w:rsidR="00157C36" w:rsidRPr="00E130A8">
        <w:rPr>
          <w:i/>
        </w:rPr>
        <w:t xml:space="preserve"> </w:t>
      </w:r>
      <w:r w:rsidRPr="00E130A8">
        <w:rPr>
          <w:i/>
        </w:rPr>
        <w:t xml:space="preserve">se na svém zasedání </w:t>
      </w:r>
      <w:r w:rsidR="000F7CDE" w:rsidRPr="00E130A8">
        <w:rPr>
          <w:i/>
        </w:rPr>
        <w:t>dne</w:t>
      </w:r>
      <w:r w:rsidR="00080620">
        <w:rPr>
          <w:i/>
        </w:rPr>
        <w:t xml:space="preserve"> </w:t>
      </w:r>
      <w:r w:rsidR="00BC3AF4">
        <w:rPr>
          <w:i/>
        </w:rPr>
        <w:t>25. 05.</w:t>
      </w:r>
      <w:r w:rsidR="00CA1F3A">
        <w:rPr>
          <w:i/>
        </w:rPr>
        <w:t xml:space="preserve"> </w:t>
      </w:r>
      <w:r w:rsidR="00E41998">
        <w:rPr>
          <w:i/>
        </w:rPr>
        <w:t>2020</w:t>
      </w:r>
      <w:r w:rsidRPr="00E130A8">
        <w:rPr>
          <w:i/>
        </w:rPr>
        <w:t xml:space="preserve"> usneslo</w:t>
      </w:r>
      <w:r w:rsidR="00CA1F3A">
        <w:rPr>
          <w:i/>
        </w:rPr>
        <w:t xml:space="preserve"> usnesením č.</w:t>
      </w:r>
      <w:r w:rsidR="00D13B2D">
        <w:rPr>
          <w:i/>
        </w:rPr>
        <w:t> </w:t>
      </w:r>
      <w:r w:rsidR="00BC3AF4">
        <w:rPr>
          <w:i/>
        </w:rPr>
        <w:t xml:space="preserve">21/2020-2.12 </w:t>
      </w:r>
      <w:r w:rsidRPr="00E130A8">
        <w:rPr>
          <w:i/>
        </w:rPr>
        <w:t>vydat na</w:t>
      </w:r>
      <w:r w:rsidR="000F7CDE" w:rsidRPr="00E130A8">
        <w:rPr>
          <w:i/>
        </w:rPr>
        <w:t> </w:t>
      </w:r>
      <w:r w:rsidRPr="00E130A8">
        <w:rPr>
          <w:i/>
        </w:rPr>
        <w:t xml:space="preserve">základě </w:t>
      </w:r>
      <w:r w:rsidR="008326DB" w:rsidRPr="00E130A8">
        <w:rPr>
          <w:i/>
        </w:rPr>
        <w:t>§ 24 odst. 2 zákona č. 246/1992 Sb., na ochranu zvířat proti týrání, ve</w:t>
      </w:r>
      <w:r w:rsidR="00CA1F3A">
        <w:rPr>
          <w:i/>
        </w:rPr>
        <w:t> </w:t>
      </w:r>
      <w:r w:rsidR="008326DB" w:rsidRPr="00E130A8">
        <w:rPr>
          <w:i/>
        </w:rPr>
        <w:t>znění pozdějších předpisů</w:t>
      </w:r>
      <w:r w:rsidR="000370F3" w:rsidRPr="00E130A8">
        <w:rPr>
          <w:i/>
        </w:rPr>
        <w:t xml:space="preserve">, </w:t>
      </w:r>
      <w:r w:rsidR="008326DB" w:rsidRPr="00E130A8">
        <w:rPr>
          <w:i/>
        </w:rPr>
        <w:t>a</w:t>
      </w:r>
      <w:r w:rsidR="00181885" w:rsidRPr="00E130A8">
        <w:rPr>
          <w:i/>
        </w:rPr>
        <w:t> </w:t>
      </w:r>
      <w:r w:rsidR="008326DB" w:rsidRPr="00E130A8">
        <w:rPr>
          <w:i/>
        </w:rPr>
        <w:t xml:space="preserve">v souladu s </w:t>
      </w:r>
      <w:r w:rsidRPr="00E130A8">
        <w:rPr>
          <w:i/>
        </w:rPr>
        <w:t>§</w:t>
      </w:r>
      <w:r w:rsidR="008326DB" w:rsidRPr="00E130A8">
        <w:rPr>
          <w:i/>
        </w:rPr>
        <w:t xml:space="preserve"> 10 písm. </w:t>
      </w:r>
      <w:r w:rsidR="000F7CDE" w:rsidRPr="00E130A8">
        <w:rPr>
          <w:i/>
        </w:rPr>
        <w:t>a</w:t>
      </w:r>
      <w:r w:rsidR="000F7CDE" w:rsidRPr="00BE3AE6">
        <w:rPr>
          <w:i/>
        </w:rPr>
        <w:t>),</w:t>
      </w:r>
      <w:r w:rsidR="007E6A93" w:rsidRPr="00BE3AE6">
        <w:rPr>
          <w:i/>
        </w:rPr>
        <w:t xml:space="preserve"> </w:t>
      </w:r>
      <w:r w:rsidR="004E5A86">
        <w:rPr>
          <w:i/>
        </w:rPr>
        <w:t>d)</w:t>
      </w:r>
      <w:r w:rsidR="008326DB" w:rsidRPr="00E130A8">
        <w:rPr>
          <w:i/>
        </w:rPr>
        <w:t xml:space="preserve"> a §</w:t>
      </w:r>
      <w:r w:rsidRPr="00E130A8">
        <w:rPr>
          <w:i/>
        </w:rPr>
        <w:t xml:space="preserve"> 84 odst. 2 písm. h) zákona č.</w:t>
      </w:r>
      <w:r w:rsidR="00CA1F3A">
        <w:rPr>
          <w:i/>
        </w:rPr>
        <w:t> </w:t>
      </w:r>
      <w:r w:rsidRPr="00E130A8">
        <w:rPr>
          <w:i/>
        </w:rPr>
        <w:t>128/2000 Sb., o</w:t>
      </w:r>
      <w:r w:rsidR="00200777" w:rsidRPr="00E130A8">
        <w:rPr>
          <w:i/>
        </w:rPr>
        <w:t> </w:t>
      </w:r>
      <w:r w:rsidRPr="00E130A8">
        <w:rPr>
          <w:i/>
        </w:rPr>
        <w:t xml:space="preserve">obcích (obecní zřízení), ve znění pozdějších předpisů, </w:t>
      </w:r>
      <w:r w:rsidR="008326DB" w:rsidRPr="00E130A8">
        <w:rPr>
          <w:i/>
        </w:rPr>
        <w:t>tuto o</w:t>
      </w:r>
      <w:r w:rsidRPr="00E130A8">
        <w:rPr>
          <w:i/>
        </w:rPr>
        <w:t>becně závaznou vyhlášku (dále jen „vyhláška“):</w:t>
      </w:r>
    </w:p>
    <w:p w:rsidR="00783F0F" w:rsidRDefault="000F7CDE" w:rsidP="00CA1F3A">
      <w:pPr>
        <w:pStyle w:val="Zkladntext"/>
        <w:tabs>
          <w:tab w:val="left" w:pos="3735"/>
        </w:tabs>
      </w:pPr>
      <w:r w:rsidRPr="00E130A8">
        <w:tab/>
      </w:r>
    </w:p>
    <w:p w:rsidR="00205848" w:rsidRPr="00E27364" w:rsidRDefault="00205848" w:rsidP="00CA1F3A">
      <w:pPr>
        <w:pStyle w:val="Zkladntext"/>
        <w:tabs>
          <w:tab w:val="left" w:pos="3735"/>
        </w:tabs>
        <w:rPr>
          <w:sz w:val="22"/>
          <w:szCs w:val="22"/>
        </w:rPr>
      </w:pPr>
    </w:p>
    <w:p w:rsidR="001B7706" w:rsidRPr="00E130A8" w:rsidRDefault="0008413F" w:rsidP="00CA1F3A">
      <w:pPr>
        <w:pStyle w:val="Zkladntext"/>
        <w:jc w:val="center"/>
        <w:rPr>
          <w:b/>
          <w:bCs/>
        </w:rPr>
      </w:pPr>
      <w:r>
        <w:rPr>
          <w:b/>
          <w:bCs/>
        </w:rPr>
        <w:t>Článek 1</w:t>
      </w:r>
    </w:p>
    <w:p w:rsidR="001B7706" w:rsidRPr="00E130A8" w:rsidRDefault="001B7706" w:rsidP="00CA1F3A">
      <w:pPr>
        <w:pStyle w:val="Zkladntext"/>
        <w:jc w:val="center"/>
        <w:rPr>
          <w:b/>
          <w:bCs/>
        </w:rPr>
      </w:pPr>
      <w:r w:rsidRPr="00E130A8">
        <w:rPr>
          <w:b/>
          <w:bCs/>
        </w:rPr>
        <w:t>Pravidla pro pohyb psů na veřejných prostranstvích</w:t>
      </w:r>
    </w:p>
    <w:p w:rsidR="001B7706" w:rsidRPr="00CA1F3A" w:rsidRDefault="001B7706" w:rsidP="00CA1F3A">
      <w:pPr>
        <w:pStyle w:val="Zkladntext"/>
        <w:jc w:val="center"/>
        <w:rPr>
          <w:sz w:val="20"/>
          <w:szCs w:val="20"/>
        </w:rPr>
      </w:pPr>
    </w:p>
    <w:p w:rsidR="00614AF2" w:rsidRDefault="00614AF2" w:rsidP="00CA1F3A">
      <w:pPr>
        <w:pStyle w:val="Seznamoslovan"/>
        <w:numPr>
          <w:ilvl w:val="0"/>
          <w:numId w:val="8"/>
        </w:numPr>
        <w:spacing w:after="0"/>
        <w:rPr>
          <w:szCs w:val="24"/>
        </w:rPr>
      </w:pPr>
      <w:r w:rsidRPr="00E130A8">
        <w:rPr>
          <w:szCs w:val="24"/>
        </w:rPr>
        <w:t xml:space="preserve">Stanovují se následující pravidla pro pohyb psů na </w:t>
      </w:r>
      <w:r>
        <w:rPr>
          <w:szCs w:val="24"/>
        </w:rPr>
        <w:t>všech</w:t>
      </w:r>
      <w:r w:rsidRPr="00E130A8">
        <w:rPr>
          <w:szCs w:val="24"/>
        </w:rPr>
        <w:t xml:space="preserve"> veřejných prostranstvích</w:t>
      </w:r>
      <w:r w:rsidRPr="00E130A8">
        <w:rPr>
          <w:rStyle w:val="Znakapoznpodarou"/>
          <w:szCs w:val="24"/>
        </w:rPr>
        <w:footnoteReference w:customMarkFollows="1" w:id="1"/>
        <w:t>1)</w:t>
      </w:r>
      <w:r>
        <w:rPr>
          <w:szCs w:val="24"/>
        </w:rPr>
        <w:t>:</w:t>
      </w:r>
    </w:p>
    <w:p w:rsidR="00D13B2D" w:rsidRPr="00D13B2D" w:rsidRDefault="00D13B2D" w:rsidP="00D13B2D">
      <w:pPr>
        <w:pStyle w:val="Seznamoslovan"/>
        <w:numPr>
          <w:ilvl w:val="0"/>
          <w:numId w:val="11"/>
        </w:numPr>
        <w:spacing w:after="0"/>
      </w:pPr>
      <w:r w:rsidRPr="00614AF2">
        <w:rPr>
          <w:szCs w:val="24"/>
        </w:rPr>
        <w:t xml:space="preserve">pes musí být veden </w:t>
      </w:r>
      <w:r w:rsidR="00E41998" w:rsidRPr="00614AF2">
        <w:rPr>
          <w:szCs w:val="24"/>
        </w:rPr>
        <w:t>na vodítku</w:t>
      </w:r>
      <w:r w:rsidR="00E41998">
        <w:rPr>
          <w:szCs w:val="24"/>
        </w:rPr>
        <w:t xml:space="preserve"> nebo</w:t>
      </w:r>
      <w:r w:rsidR="00E41998" w:rsidRPr="00614AF2">
        <w:rPr>
          <w:szCs w:val="24"/>
        </w:rPr>
        <w:t xml:space="preserve"> </w:t>
      </w:r>
      <w:r w:rsidRPr="00614AF2">
        <w:rPr>
          <w:szCs w:val="24"/>
        </w:rPr>
        <w:t>s</w:t>
      </w:r>
      <w:r w:rsidR="00E41998">
        <w:rPr>
          <w:szCs w:val="24"/>
        </w:rPr>
        <w:t> </w:t>
      </w:r>
      <w:r w:rsidR="00E41998" w:rsidRPr="00614AF2">
        <w:rPr>
          <w:szCs w:val="24"/>
        </w:rPr>
        <w:t>náhubkem</w:t>
      </w:r>
      <w:r w:rsidR="00E41998">
        <w:rPr>
          <w:szCs w:val="24"/>
        </w:rPr>
        <w:t>, který je nasazený na čelisti,</w:t>
      </w:r>
      <w:r w:rsidRPr="00614AF2">
        <w:rPr>
          <w:szCs w:val="24"/>
        </w:rPr>
        <w:t xml:space="preserve"> tak, aby při míjení jiných osob a vedených psů nebo jiných zvířat byl veden u nohy fyzické osoby</w:t>
      </w:r>
      <w:r>
        <w:rPr>
          <w:szCs w:val="24"/>
        </w:rPr>
        <w:t xml:space="preserve"> vedoucího psa</w:t>
      </w:r>
      <w:r w:rsidRPr="00614AF2">
        <w:rPr>
          <w:szCs w:val="24"/>
        </w:rPr>
        <w:t xml:space="preserve"> a</w:t>
      </w:r>
      <w:r>
        <w:rPr>
          <w:szCs w:val="24"/>
        </w:rPr>
        <w:t> </w:t>
      </w:r>
      <w:r w:rsidRPr="00614AF2">
        <w:rPr>
          <w:szCs w:val="24"/>
        </w:rPr>
        <w:t>nemo</w:t>
      </w:r>
      <w:r>
        <w:rPr>
          <w:szCs w:val="24"/>
        </w:rPr>
        <w:t>hl se s nimi dostat do kontaktu</w:t>
      </w:r>
      <w:r w:rsidR="00E41998">
        <w:rPr>
          <w:szCs w:val="24"/>
        </w:rPr>
        <w:t>;</w:t>
      </w:r>
    </w:p>
    <w:p w:rsidR="00D13B2D" w:rsidRPr="008340D7" w:rsidRDefault="00D13B2D" w:rsidP="00D13B2D">
      <w:pPr>
        <w:pStyle w:val="Seznamoslovan"/>
        <w:numPr>
          <w:ilvl w:val="0"/>
          <w:numId w:val="11"/>
        </w:numPr>
        <w:spacing w:after="0"/>
      </w:pPr>
      <w:r w:rsidRPr="008340D7">
        <w:t>v případě, že musí být pes na přechodnou dobu ponechán na veřejném prostranství bez</w:t>
      </w:r>
      <w:r w:rsidR="00E41998">
        <w:t> </w:t>
      </w:r>
      <w:r w:rsidRPr="008340D7">
        <w:t xml:space="preserve">dohledu (např. při návštěvě obchodu), je nutné </w:t>
      </w:r>
      <w:r w:rsidR="00E41998">
        <w:t>nasadit na čelist psa náhubek a </w:t>
      </w:r>
      <w:r w:rsidRPr="008340D7">
        <w:t>uvázat psa k pevnému předmětu, a to tak, aby při míjení jiných osob a vedených psů nebo jiných zvířat měl takto uvázaný pes co nejmenší možno</w:t>
      </w:r>
      <w:r>
        <w:t>st dostat se s nimi do</w:t>
      </w:r>
      <w:r w:rsidR="00E41998">
        <w:t> </w:t>
      </w:r>
      <w:r>
        <w:t>kontaktu.</w:t>
      </w:r>
    </w:p>
    <w:p w:rsidR="001B7706" w:rsidRPr="00E27364" w:rsidRDefault="001B7706" w:rsidP="00CA1F3A">
      <w:pPr>
        <w:pStyle w:val="Seznamoslovan"/>
        <w:numPr>
          <w:ilvl w:val="0"/>
          <w:numId w:val="8"/>
        </w:numPr>
        <w:spacing w:after="0"/>
        <w:rPr>
          <w:vertAlign w:val="superscript"/>
        </w:rPr>
      </w:pPr>
      <w:r w:rsidRPr="00E130A8">
        <w:rPr>
          <w:szCs w:val="24"/>
        </w:rPr>
        <w:t>Splnění povinností uvedených v odst. 1</w:t>
      </w:r>
      <w:r w:rsidR="00D96A8E">
        <w:rPr>
          <w:szCs w:val="24"/>
        </w:rPr>
        <w:t xml:space="preserve"> </w:t>
      </w:r>
      <w:r w:rsidR="00DF5F1C">
        <w:rPr>
          <w:szCs w:val="24"/>
        </w:rPr>
        <w:t xml:space="preserve">a 2 </w:t>
      </w:r>
      <w:r w:rsidRPr="00E130A8">
        <w:rPr>
          <w:szCs w:val="24"/>
        </w:rPr>
        <w:t>zajišťuje fyzická osoba, která má psa na</w:t>
      </w:r>
      <w:r w:rsidR="00F46C08">
        <w:rPr>
          <w:szCs w:val="24"/>
        </w:rPr>
        <w:t> </w:t>
      </w:r>
      <w:r w:rsidRPr="00E130A8">
        <w:rPr>
          <w:szCs w:val="24"/>
        </w:rPr>
        <w:t>veřejném prostranství pod kontrolou a dohledem.</w:t>
      </w:r>
      <w:r w:rsidRPr="00E130A8">
        <w:rPr>
          <w:rStyle w:val="Znakapoznpodarou"/>
          <w:szCs w:val="24"/>
        </w:rPr>
        <w:footnoteReference w:id="2"/>
      </w:r>
      <w:r w:rsidRPr="00E130A8">
        <w:rPr>
          <w:szCs w:val="24"/>
          <w:vertAlign w:val="superscript"/>
        </w:rPr>
        <w:t>)</w:t>
      </w:r>
    </w:p>
    <w:p w:rsidR="00E27364" w:rsidRPr="00E27364" w:rsidRDefault="00E27364" w:rsidP="00CA1F3A">
      <w:pPr>
        <w:pStyle w:val="Seznamoslovan"/>
        <w:numPr>
          <w:ilvl w:val="0"/>
          <w:numId w:val="8"/>
        </w:numPr>
        <w:spacing w:after="0"/>
        <w:rPr>
          <w:vertAlign w:val="superscript"/>
        </w:rPr>
      </w:pPr>
      <w:r w:rsidRPr="00291C78">
        <w:t xml:space="preserve">Znečištění veřejného prostranství psími výkaly nebo jejich neodstranění je </w:t>
      </w:r>
      <w:r>
        <w:t>upraveno zákonem</w:t>
      </w:r>
      <w:r w:rsidRPr="00291C78">
        <w:t>.</w:t>
      </w:r>
      <w:r w:rsidRPr="00291C78">
        <w:rPr>
          <w:rStyle w:val="Znakapoznpodarou"/>
        </w:rPr>
        <w:footnoteReference w:id="3"/>
      </w:r>
      <w:r w:rsidRPr="00E27364">
        <w:rPr>
          <w:vertAlign w:val="superscript"/>
        </w:rPr>
        <w:t>)</w:t>
      </w:r>
    </w:p>
    <w:p w:rsidR="00E27364" w:rsidRPr="00E27364" w:rsidRDefault="00E27364" w:rsidP="00CA1F3A">
      <w:pPr>
        <w:pStyle w:val="Seznamoslovan"/>
        <w:numPr>
          <w:ilvl w:val="0"/>
          <w:numId w:val="8"/>
        </w:numPr>
        <w:spacing w:after="0"/>
        <w:rPr>
          <w:szCs w:val="24"/>
        </w:rPr>
      </w:pPr>
      <w:r w:rsidRPr="00291C78">
        <w:t>Další povinnosti chovatelů jsou upraveny zákony.</w:t>
      </w:r>
      <w:r w:rsidRPr="00291C78">
        <w:rPr>
          <w:rStyle w:val="Znakapoznpodarou"/>
        </w:rPr>
        <w:footnoteReference w:id="4"/>
      </w:r>
      <w:r w:rsidRPr="00E27364">
        <w:rPr>
          <w:vertAlign w:val="superscript"/>
        </w:rPr>
        <w:t>)</w:t>
      </w:r>
    </w:p>
    <w:p w:rsidR="00EA2F22" w:rsidRDefault="00EA2F22" w:rsidP="00EA2F22">
      <w:pPr>
        <w:jc w:val="center"/>
        <w:rPr>
          <w:b/>
        </w:rPr>
      </w:pPr>
    </w:p>
    <w:p w:rsidR="00EA2F22" w:rsidRPr="005601B8" w:rsidRDefault="00E41998" w:rsidP="00EA2F22">
      <w:pPr>
        <w:jc w:val="center"/>
        <w:rPr>
          <w:b/>
        </w:rPr>
      </w:pPr>
      <w:r>
        <w:rPr>
          <w:b/>
        </w:rPr>
        <w:br w:type="page"/>
      </w:r>
      <w:r w:rsidR="00EA2F22" w:rsidRPr="005601B8">
        <w:rPr>
          <w:b/>
        </w:rPr>
        <w:lastRenderedPageBreak/>
        <w:t>Článek 2</w:t>
      </w:r>
    </w:p>
    <w:p w:rsidR="00EA2F22" w:rsidRPr="005601B8" w:rsidRDefault="00EA2F22" w:rsidP="00EA2F22">
      <w:pPr>
        <w:jc w:val="center"/>
        <w:rPr>
          <w:b/>
        </w:rPr>
      </w:pPr>
      <w:r w:rsidRPr="005601B8">
        <w:rPr>
          <w:b/>
        </w:rPr>
        <w:t>Vymezení prostor pro volné pobíhání psů</w:t>
      </w:r>
    </w:p>
    <w:p w:rsidR="00EA2F22" w:rsidRPr="005601B8" w:rsidRDefault="00EA2F22" w:rsidP="00EA2F22">
      <w:pPr>
        <w:jc w:val="center"/>
        <w:rPr>
          <w:b/>
        </w:rPr>
      </w:pPr>
    </w:p>
    <w:p w:rsidR="00D13B2D" w:rsidRDefault="00D13B2D" w:rsidP="00D13B2D">
      <w:pPr>
        <w:jc w:val="both"/>
      </w:pPr>
      <w:r w:rsidRPr="00560096">
        <w:t xml:space="preserve">Pro volné pobíhání psů, které je možné pouze pod neustálým dohledem a přímým vlivem osoby </w:t>
      </w:r>
      <w:r w:rsidRPr="004F6B94">
        <w:t xml:space="preserve">doprovázející psa, se vymezují </w:t>
      </w:r>
      <w:r w:rsidR="00205848">
        <w:t xml:space="preserve">následující </w:t>
      </w:r>
      <w:r w:rsidRPr="004F6B94">
        <w:t>prostory</w:t>
      </w:r>
      <w:r w:rsidR="00205848">
        <w:t>:</w:t>
      </w:r>
    </w:p>
    <w:p w:rsidR="00205848" w:rsidRPr="00205848" w:rsidRDefault="00205848" w:rsidP="00D13B2D">
      <w:pPr>
        <w:jc w:val="both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670"/>
        <w:gridCol w:w="2156"/>
      </w:tblGrid>
      <w:tr w:rsidR="00205848" w:rsidRPr="00205848" w:rsidTr="00376A1B">
        <w:tc>
          <w:tcPr>
            <w:tcW w:w="1384" w:type="dxa"/>
            <w:shd w:val="clear" w:color="auto" w:fill="auto"/>
          </w:tcPr>
          <w:p w:rsidR="00205848" w:rsidRPr="00376A1B" w:rsidRDefault="00205848" w:rsidP="00376A1B">
            <w:pPr>
              <w:pStyle w:val="Zkladntext"/>
              <w:rPr>
                <w:b/>
                <w:bCs/>
              </w:rPr>
            </w:pPr>
            <w:r w:rsidRPr="00376A1B">
              <w:rPr>
                <w:b/>
                <w:bCs/>
              </w:rPr>
              <w:t>Místní část</w:t>
            </w:r>
          </w:p>
        </w:tc>
        <w:tc>
          <w:tcPr>
            <w:tcW w:w="5670" w:type="dxa"/>
            <w:shd w:val="clear" w:color="auto" w:fill="auto"/>
          </w:tcPr>
          <w:p w:rsidR="00205848" w:rsidRPr="00376A1B" w:rsidRDefault="00205848" w:rsidP="00376A1B">
            <w:pPr>
              <w:pStyle w:val="Zkladntext"/>
              <w:rPr>
                <w:b/>
                <w:bCs/>
              </w:rPr>
            </w:pPr>
            <w:r w:rsidRPr="00376A1B">
              <w:rPr>
                <w:b/>
                <w:bCs/>
              </w:rPr>
              <w:t>Číslo parcely</w:t>
            </w:r>
          </w:p>
        </w:tc>
        <w:tc>
          <w:tcPr>
            <w:tcW w:w="2156" w:type="dxa"/>
            <w:shd w:val="clear" w:color="auto" w:fill="auto"/>
          </w:tcPr>
          <w:p w:rsidR="00205848" w:rsidRPr="00376A1B" w:rsidRDefault="00205848" w:rsidP="00376A1B">
            <w:pPr>
              <w:pStyle w:val="Zkladntext"/>
              <w:rPr>
                <w:b/>
                <w:bCs/>
              </w:rPr>
            </w:pPr>
            <w:r w:rsidRPr="00376A1B">
              <w:rPr>
                <w:b/>
                <w:bCs/>
              </w:rPr>
              <w:t>Katastrální území</w:t>
            </w:r>
          </w:p>
        </w:tc>
      </w:tr>
      <w:tr w:rsidR="00205848" w:rsidRPr="00205848" w:rsidTr="00376A1B">
        <w:tc>
          <w:tcPr>
            <w:tcW w:w="1384" w:type="dxa"/>
            <w:shd w:val="clear" w:color="auto" w:fill="auto"/>
          </w:tcPr>
          <w:p w:rsidR="00205848" w:rsidRPr="00205848" w:rsidRDefault="00205848" w:rsidP="00376A1B">
            <w:pPr>
              <w:pStyle w:val="Zkladntext"/>
            </w:pPr>
            <w:r>
              <w:t>Strupčice</w:t>
            </w:r>
          </w:p>
        </w:tc>
        <w:tc>
          <w:tcPr>
            <w:tcW w:w="5670" w:type="dxa"/>
            <w:shd w:val="clear" w:color="auto" w:fill="auto"/>
          </w:tcPr>
          <w:p w:rsidR="00205848" w:rsidRPr="00205848" w:rsidRDefault="00205848" w:rsidP="00376A1B">
            <w:pPr>
              <w:pStyle w:val="Zkladntext"/>
            </w:pPr>
            <w:r>
              <w:t xml:space="preserve">pozemkové parcely </w:t>
            </w:r>
            <w:r w:rsidRPr="00205848">
              <w:t xml:space="preserve">468/15, 472/2, 498, 364/1 </w:t>
            </w:r>
            <w:r>
              <w:t xml:space="preserve">a </w:t>
            </w:r>
            <w:r w:rsidRPr="00205848">
              <w:t>366/1</w:t>
            </w:r>
          </w:p>
        </w:tc>
        <w:tc>
          <w:tcPr>
            <w:tcW w:w="2156" w:type="dxa"/>
            <w:shd w:val="clear" w:color="auto" w:fill="auto"/>
          </w:tcPr>
          <w:p w:rsidR="00205848" w:rsidRPr="00205848" w:rsidRDefault="00205848" w:rsidP="00376A1B">
            <w:pPr>
              <w:pStyle w:val="Zkladntext"/>
            </w:pPr>
            <w:r w:rsidRPr="00205848">
              <w:t>Strupčice</w:t>
            </w:r>
          </w:p>
        </w:tc>
      </w:tr>
      <w:tr w:rsidR="00205848" w:rsidRPr="00205848" w:rsidTr="00376A1B">
        <w:tc>
          <w:tcPr>
            <w:tcW w:w="1384" w:type="dxa"/>
            <w:shd w:val="clear" w:color="auto" w:fill="auto"/>
          </w:tcPr>
          <w:p w:rsidR="00205848" w:rsidRPr="00205848" w:rsidRDefault="00205848" w:rsidP="00376A1B">
            <w:pPr>
              <w:pStyle w:val="Zkladntext"/>
            </w:pPr>
            <w:proofErr w:type="spellStart"/>
            <w:r w:rsidRPr="00205848">
              <w:t>Hošnice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205848" w:rsidRPr="00205848" w:rsidRDefault="00E57B8E" w:rsidP="00376A1B">
            <w:pPr>
              <w:pStyle w:val="Zkladntext"/>
            </w:pPr>
            <w:r>
              <w:t>136/6 a 137</w:t>
            </w:r>
          </w:p>
        </w:tc>
        <w:tc>
          <w:tcPr>
            <w:tcW w:w="2156" w:type="dxa"/>
            <w:shd w:val="clear" w:color="auto" w:fill="auto"/>
          </w:tcPr>
          <w:p w:rsidR="00205848" w:rsidRPr="00205848" w:rsidRDefault="00F254B8" w:rsidP="00376A1B">
            <w:pPr>
              <w:pStyle w:val="Zkladntext"/>
            </w:pPr>
            <w:proofErr w:type="spellStart"/>
            <w:r>
              <w:t>Sušany</w:t>
            </w:r>
            <w:proofErr w:type="spellEnd"/>
          </w:p>
        </w:tc>
      </w:tr>
      <w:tr w:rsidR="00205848" w:rsidRPr="00205848" w:rsidTr="00376A1B">
        <w:tc>
          <w:tcPr>
            <w:tcW w:w="1384" w:type="dxa"/>
            <w:shd w:val="clear" w:color="auto" w:fill="auto"/>
          </w:tcPr>
          <w:p w:rsidR="00205848" w:rsidRPr="00205848" w:rsidRDefault="00205848" w:rsidP="00376A1B">
            <w:pPr>
              <w:pStyle w:val="Zkladntext"/>
            </w:pPr>
            <w:proofErr w:type="spellStart"/>
            <w:r>
              <w:t>Okořín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205848" w:rsidRPr="00205848" w:rsidRDefault="00E57B8E" w:rsidP="00376A1B">
            <w:pPr>
              <w:pStyle w:val="Zkladntext"/>
            </w:pPr>
            <w:r>
              <w:t xml:space="preserve">část pozemkových parcel </w:t>
            </w:r>
            <w:r w:rsidRPr="00205848">
              <w:t>623/1 a 620/17</w:t>
            </w:r>
          </w:p>
        </w:tc>
        <w:tc>
          <w:tcPr>
            <w:tcW w:w="2156" w:type="dxa"/>
            <w:shd w:val="clear" w:color="auto" w:fill="auto"/>
          </w:tcPr>
          <w:p w:rsidR="00205848" w:rsidRPr="00205848" w:rsidRDefault="00F254B8" w:rsidP="00376A1B">
            <w:pPr>
              <w:pStyle w:val="Zkladntext"/>
            </w:pPr>
            <w:r>
              <w:t>Strupčice</w:t>
            </w:r>
          </w:p>
        </w:tc>
      </w:tr>
      <w:tr w:rsidR="00205848" w:rsidRPr="00205848" w:rsidTr="00376A1B">
        <w:tc>
          <w:tcPr>
            <w:tcW w:w="1384" w:type="dxa"/>
            <w:shd w:val="clear" w:color="auto" w:fill="auto"/>
          </w:tcPr>
          <w:p w:rsidR="00205848" w:rsidRPr="00205848" w:rsidRDefault="00205848" w:rsidP="00376A1B">
            <w:pPr>
              <w:pStyle w:val="Zkladntext"/>
            </w:pPr>
            <w:proofErr w:type="spellStart"/>
            <w:r>
              <w:t>Sušany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205848" w:rsidRPr="00205848" w:rsidRDefault="00205848" w:rsidP="00376A1B">
            <w:pPr>
              <w:pStyle w:val="Zkladntext"/>
            </w:pPr>
            <w:r w:rsidRPr="00205848">
              <w:t>85/1 a 116/27</w:t>
            </w:r>
          </w:p>
        </w:tc>
        <w:tc>
          <w:tcPr>
            <w:tcW w:w="2156" w:type="dxa"/>
            <w:shd w:val="clear" w:color="auto" w:fill="auto"/>
          </w:tcPr>
          <w:p w:rsidR="00205848" w:rsidRPr="00205848" w:rsidRDefault="00205848" w:rsidP="00376A1B">
            <w:pPr>
              <w:pStyle w:val="Zkladntext"/>
            </w:pPr>
            <w:proofErr w:type="spellStart"/>
            <w:r w:rsidRPr="00205848">
              <w:t>Sušany</w:t>
            </w:r>
            <w:proofErr w:type="spellEnd"/>
          </w:p>
        </w:tc>
      </w:tr>
    </w:tbl>
    <w:p w:rsidR="00EA2F22" w:rsidRDefault="00EA2F22" w:rsidP="00CA1F3A">
      <w:pPr>
        <w:pStyle w:val="Zkladntext"/>
        <w:jc w:val="center"/>
        <w:rPr>
          <w:b/>
        </w:rPr>
      </w:pPr>
    </w:p>
    <w:p w:rsidR="00783F0F" w:rsidRPr="00E130A8" w:rsidRDefault="00E407C5" w:rsidP="00CA1F3A">
      <w:pPr>
        <w:pStyle w:val="Nadpis6"/>
        <w:rPr>
          <w:rFonts w:eastAsia="Times New Roman"/>
        </w:rPr>
      </w:pPr>
      <w:r>
        <w:rPr>
          <w:rFonts w:eastAsia="Times New Roman"/>
        </w:rPr>
        <w:t xml:space="preserve">Článek </w:t>
      </w:r>
      <w:r w:rsidR="00E41998">
        <w:rPr>
          <w:rFonts w:eastAsia="Times New Roman"/>
        </w:rPr>
        <w:t>3</w:t>
      </w:r>
    </w:p>
    <w:p w:rsidR="00783F0F" w:rsidRPr="00E130A8" w:rsidRDefault="00783F0F" w:rsidP="00CA1F3A">
      <w:pPr>
        <w:jc w:val="center"/>
        <w:rPr>
          <w:b/>
          <w:bCs/>
        </w:rPr>
      </w:pPr>
      <w:r w:rsidRPr="00E130A8">
        <w:rPr>
          <w:b/>
          <w:bCs/>
        </w:rPr>
        <w:t>Výjimky</w:t>
      </w:r>
    </w:p>
    <w:p w:rsidR="00783F0F" w:rsidRPr="00E130A8" w:rsidRDefault="00783F0F" w:rsidP="00CA1F3A"/>
    <w:p w:rsidR="00783F0F" w:rsidRPr="00CA1F3A" w:rsidRDefault="00783F0F" w:rsidP="00D13B2D">
      <w:pPr>
        <w:pStyle w:val="Seznamoslovan"/>
        <w:spacing w:after="0"/>
      </w:pPr>
      <w:r w:rsidRPr="00E130A8">
        <w:rPr>
          <w:szCs w:val="24"/>
        </w:rPr>
        <w:t>Pravidla v čl. 1 odst. 1</w:t>
      </w:r>
      <w:r w:rsidR="00E407C5">
        <w:rPr>
          <w:szCs w:val="24"/>
        </w:rPr>
        <w:t xml:space="preserve"> </w:t>
      </w:r>
      <w:r w:rsidRPr="00E130A8">
        <w:rPr>
          <w:szCs w:val="24"/>
        </w:rPr>
        <w:t xml:space="preserve">vyhlášky se nevztahují </w:t>
      </w:r>
      <w:r w:rsidR="007E6A93" w:rsidRPr="00E130A8">
        <w:rPr>
          <w:szCs w:val="24"/>
        </w:rPr>
        <w:t>na</w:t>
      </w:r>
      <w:r w:rsidR="00CA1F3A">
        <w:rPr>
          <w:szCs w:val="24"/>
        </w:rPr>
        <w:t xml:space="preserve"> psy:</w:t>
      </w:r>
    </w:p>
    <w:p w:rsidR="00CA1F3A" w:rsidRPr="00291C78" w:rsidRDefault="00CA1F3A" w:rsidP="00CA1F3A">
      <w:pPr>
        <w:numPr>
          <w:ilvl w:val="0"/>
          <w:numId w:val="16"/>
        </w:numPr>
        <w:jc w:val="both"/>
      </w:pPr>
      <w:r w:rsidRPr="00291C78">
        <w:t>při výkonu činnost v souvislosti s plněním pracovních nebo služebních úkolů podle zvláštního zákona</w:t>
      </w:r>
      <w:r w:rsidRPr="00291C78">
        <w:rPr>
          <w:rStyle w:val="Znakapoznpodarou"/>
        </w:rPr>
        <w:footnoteReference w:id="5"/>
      </w:r>
      <w:r w:rsidRPr="008748EE">
        <w:rPr>
          <w:vertAlign w:val="superscript"/>
        </w:rPr>
        <w:t>)</w:t>
      </w:r>
      <w:r w:rsidRPr="00291C78">
        <w:t xml:space="preserve">, </w:t>
      </w:r>
    </w:p>
    <w:p w:rsidR="00CA1F3A" w:rsidRPr="00291C78" w:rsidRDefault="00CA1F3A" w:rsidP="00CA1F3A">
      <w:pPr>
        <w:numPr>
          <w:ilvl w:val="0"/>
          <w:numId w:val="16"/>
        </w:numPr>
        <w:jc w:val="both"/>
      </w:pPr>
      <w:r w:rsidRPr="00291C78">
        <w:t>záchranářské</w:t>
      </w:r>
      <w:r w:rsidRPr="00291C78">
        <w:rPr>
          <w:rStyle w:val="Znakapoznpodarou"/>
        </w:rPr>
        <w:footnoteReference w:id="6"/>
      </w:r>
      <w:r w:rsidRPr="008748EE">
        <w:rPr>
          <w:vertAlign w:val="superscript"/>
        </w:rPr>
        <w:t>)</w:t>
      </w:r>
      <w:r w:rsidRPr="00291C78">
        <w:t xml:space="preserve">, </w:t>
      </w:r>
    </w:p>
    <w:p w:rsidR="00CA1F3A" w:rsidRPr="00291C78" w:rsidRDefault="00CA1F3A" w:rsidP="00CA1F3A">
      <w:pPr>
        <w:numPr>
          <w:ilvl w:val="0"/>
          <w:numId w:val="16"/>
        </w:numPr>
        <w:jc w:val="both"/>
      </w:pPr>
      <w:r w:rsidRPr="00291C78">
        <w:t>vycvičené jako průvodci zdravotně postižených osob</w:t>
      </w:r>
      <w:r w:rsidRPr="00291C78">
        <w:rPr>
          <w:rStyle w:val="Znakapoznpodarou"/>
        </w:rPr>
        <w:footnoteReference w:id="7"/>
      </w:r>
      <w:r w:rsidRPr="008748EE">
        <w:rPr>
          <w:vertAlign w:val="superscript"/>
        </w:rPr>
        <w:t>)</w:t>
      </w:r>
      <w:r w:rsidRPr="00291C78">
        <w:t xml:space="preserve">, </w:t>
      </w:r>
    </w:p>
    <w:p w:rsidR="00CA1F3A" w:rsidRPr="00291C78" w:rsidRDefault="00CA1F3A" w:rsidP="00CA1F3A">
      <w:pPr>
        <w:numPr>
          <w:ilvl w:val="0"/>
          <w:numId w:val="16"/>
        </w:numPr>
        <w:jc w:val="both"/>
      </w:pPr>
      <w:r w:rsidRPr="00291C78">
        <w:t>lovecké</w:t>
      </w:r>
      <w:r w:rsidRPr="00291C78">
        <w:rPr>
          <w:rStyle w:val="Znakapoznpodarou"/>
        </w:rPr>
        <w:footnoteReference w:id="8"/>
      </w:r>
      <w:r w:rsidRPr="008748EE">
        <w:rPr>
          <w:vertAlign w:val="superscript"/>
        </w:rPr>
        <w:t>)</w:t>
      </w:r>
      <w:r w:rsidRPr="00291C78">
        <w:t xml:space="preserve"> při výkonu práva myslivosti ve smyslu zvláštních právních předpisů,</w:t>
      </w:r>
    </w:p>
    <w:p w:rsidR="00CA1F3A" w:rsidRPr="00291C78" w:rsidRDefault="00CA1F3A" w:rsidP="00CA1F3A">
      <w:pPr>
        <w:numPr>
          <w:ilvl w:val="0"/>
          <w:numId w:val="16"/>
        </w:numPr>
        <w:jc w:val="both"/>
      </w:pPr>
      <w:r w:rsidRPr="00291C78">
        <w:t>v dalších případech, kdy tak stanoví nebo umožní zákon</w:t>
      </w:r>
      <w:r w:rsidRPr="00291C78">
        <w:rPr>
          <w:rStyle w:val="Znakapoznpodarou"/>
        </w:rPr>
        <w:footnoteReference w:id="9"/>
      </w:r>
      <w:r w:rsidRPr="008748EE">
        <w:rPr>
          <w:vertAlign w:val="superscript"/>
        </w:rPr>
        <w:t>)</w:t>
      </w:r>
      <w:r w:rsidRPr="00291C78">
        <w:t>.</w:t>
      </w:r>
    </w:p>
    <w:p w:rsidR="00BE3AE6" w:rsidRPr="00BE3AE6" w:rsidRDefault="00BE3AE6" w:rsidP="00CA1F3A"/>
    <w:p w:rsidR="00EC5B4F" w:rsidRPr="00E130A8" w:rsidRDefault="0053001B" w:rsidP="00CA1F3A">
      <w:pPr>
        <w:pStyle w:val="Nadpis6"/>
        <w:rPr>
          <w:rFonts w:eastAsia="Times New Roman"/>
        </w:rPr>
      </w:pPr>
      <w:r>
        <w:rPr>
          <w:rFonts w:eastAsia="Times New Roman"/>
        </w:rPr>
        <w:t xml:space="preserve">Článek </w:t>
      </w:r>
      <w:r w:rsidR="00E41998">
        <w:rPr>
          <w:rFonts w:eastAsia="Times New Roman"/>
        </w:rPr>
        <w:t>4</w:t>
      </w:r>
    </w:p>
    <w:p w:rsidR="00EC5B4F" w:rsidRPr="00E130A8" w:rsidRDefault="00EC5B4F" w:rsidP="00CA1F3A">
      <w:pPr>
        <w:jc w:val="center"/>
        <w:rPr>
          <w:b/>
          <w:bCs/>
        </w:rPr>
      </w:pPr>
      <w:r w:rsidRPr="00E130A8">
        <w:rPr>
          <w:b/>
          <w:bCs/>
        </w:rPr>
        <w:t>Zrušovací ustanovení</w:t>
      </w:r>
    </w:p>
    <w:p w:rsidR="00EC5B4F" w:rsidRPr="00E130A8" w:rsidRDefault="00EC5B4F" w:rsidP="00CA1F3A">
      <w:pPr>
        <w:jc w:val="center"/>
        <w:rPr>
          <w:b/>
          <w:bCs/>
        </w:rPr>
      </w:pPr>
    </w:p>
    <w:p w:rsidR="00EC5B4F" w:rsidRPr="00E130A8" w:rsidRDefault="00EC5B4F" w:rsidP="00E41998">
      <w:pPr>
        <w:jc w:val="both"/>
      </w:pPr>
      <w:r w:rsidRPr="00E927CE">
        <w:t>Zru</w:t>
      </w:r>
      <w:r w:rsidR="00181885" w:rsidRPr="00E927CE">
        <w:t xml:space="preserve">šuje se obecně závazná vyhláška č. </w:t>
      </w:r>
      <w:r w:rsidR="00E41998">
        <w:t>1/2011</w:t>
      </w:r>
      <w:r w:rsidR="00181885" w:rsidRPr="00E927CE">
        <w:t xml:space="preserve">, </w:t>
      </w:r>
      <w:r w:rsidR="00E41998" w:rsidRPr="00E41998">
        <w:t>kterou se stanovují pravidla pr</w:t>
      </w:r>
      <w:r w:rsidR="00E41998">
        <w:t>o pohyb psů na veřejném prostra</w:t>
      </w:r>
      <w:r w:rsidR="00E41998" w:rsidRPr="00E41998">
        <w:t>n</w:t>
      </w:r>
      <w:r w:rsidR="00E41998">
        <w:t>s</w:t>
      </w:r>
      <w:r w:rsidR="00E41998" w:rsidRPr="00E41998">
        <w:t>tví a vymezují prostory pro volné pobíhání</w:t>
      </w:r>
      <w:r w:rsidR="00181885" w:rsidRPr="00E927CE">
        <w:t>, ze</w:t>
      </w:r>
      <w:r w:rsidR="00E927CE" w:rsidRPr="00E927CE">
        <w:t> </w:t>
      </w:r>
      <w:r w:rsidR="00181885" w:rsidRPr="00E927CE">
        <w:t xml:space="preserve">dne </w:t>
      </w:r>
      <w:r w:rsidR="00E41998">
        <w:t>4. 4. 2011</w:t>
      </w:r>
      <w:r w:rsidR="00181885" w:rsidRPr="00E927CE">
        <w:t>.</w:t>
      </w:r>
    </w:p>
    <w:p w:rsidR="00BE3AE6" w:rsidRPr="00E130A8" w:rsidRDefault="00BE3AE6" w:rsidP="00CA1F3A"/>
    <w:p w:rsidR="001B7706" w:rsidRPr="00E130A8" w:rsidRDefault="001B7706" w:rsidP="00CA1F3A">
      <w:pPr>
        <w:pStyle w:val="Nadpis6"/>
        <w:rPr>
          <w:rFonts w:eastAsia="Times New Roman"/>
        </w:rPr>
      </w:pPr>
      <w:r w:rsidRPr="00E130A8">
        <w:rPr>
          <w:rFonts w:eastAsia="Times New Roman"/>
        </w:rPr>
        <w:t xml:space="preserve">Článek </w:t>
      </w:r>
      <w:r w:rsidR="00E41998">
        <w:rPr>
          <w:rFonts w:eastAsia="Times New Roman"/>
        </w:rPr>
        <w:t>5</w:t>
      </w:r>
    </w:p>
    <w:p w:rsidR="001B7706" w:rsidRPr="00E130A8" w:rsidRDefault="001B7706" w:rsidP="00CA1F3A">
      <w:pPr>
        <w:jc w:val="center"/>
        <w:rPr>
          <w:b/>
          <w:bCs/>
        </w:rPr>
      </w:pPr>
      <w:r w:rsidRPr="00E130A8">
        <w:rPr>
          <w:b/>
          <w:bCs/>
        </w:rPr>
        <w:t>Účinnost</w:t>
      </w:r>
    </w:p>
    <w:p w:rsidR="001B7706" w:rsidRPr="00E130A8" w:rsidRDefault="001B7706" w:rsidP="00CA1F3A">
      <w:pPr>
        <w:jc w:val="center"/>
        <w:rPr>
          <w:b/>
          <w:bCs/>
        </w:rPr>
      </w:pPr>
    </w:p>
    <w:p w:rsidR="00D22F86" w:rsidRPr="00E130A8" w:rsidRDefault="00D22F86" w:rsidP="00CA1F3A">
      <w:pPr>
        <w:pStyle w:val="Zkladntext"/>
        <w:jc w:val="left"/>
      </w:pPr>
      <w:r w:rsidRPr="00E130A8">
        <w:t xml:space="preserve">Tato vyhláška nabývá účinnosti </w:t>
      </w:r>
      <w:r w:rsidR="00181885" w:rsidRPr="00E130A8">
        <w:t xml:space="preserve">patnáctým dnem </w:t>
      </w:r>
      <w:r w:rsidR="00E41998">
        <w:t>po dni vyhlášení</w:t>
      </w:r>
      <w:r w:rsidR="00181885" w:rsidRPr="00E130A8">
        <w:t>.</w:t>
      </w:r>
    </w:p>
    <w:p w:rsidR="001B7706" w:rsidRDefault="001B7706" w:rsidP="00CA1F3A">
      <w:pPr>
        <w:jc w:val="both"/>
      </w:pPr>
    </w:p>
    <w:p w:rsidR="00E927CE" w:rsidRDefault="00E927CE" w:rsidP="00CA1F3A">
      <w:pPr>
        <w:jc w:val="both"/>
      </w:pPr>
    </w:p>
    <w:p w:rsidR="00205848" w:rsidRDefault="00205848" w:rsidP="00CA1F3A">
      <w:pPr>
        <w:jc w:val="both"/>
      </w:pPr>
    </w:p>
    <w:p w:rsidR="00E927CE" w:rsidRPr="00F118E8" w:rsidRDefault="00E927CE" w:rsidP="00E927CE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927CE" w:rsidRPr="00E41998" w:rsidTr="00D92F92">
        <w:tc>
          <w:tcPr>
            <w:tcW w:w="4605" w:type="dxa"/>
          </w:tcPr>
          <w:p w:rsidR="00E927CE" w:rsidRPr="00E41998" w:rsidRDefault="00E927CE" w:rsidP="00D92F92">
            <w:pPr>
              <w:jc w:val="center"/>
            </w:pPr>
            <w:r w:rsidRPr="00E41998">
              <w:t>.………………………….</w:t>
            </w:r>
          </w:p>
        </w:tc>
        <w:tc>
          <w:tcPr>
            <w:tcW w:w="4605" w:type="dxa"/>
          </w:tcPr>
          <w:p w:rsidR="00E927CE" w:rsidRPr="00E41998" w:rsidRDefault="00E927CE" w:rsidP="00D92F92">
            <w:pPr>
              <w:jc w:val="center"/>
            </w:pPr>
            <w:r w:rsidRPr="00E41998">
              <w:t>……………..……………</w:t>
            </w:r>
          </w:p>
        </w:tc>
      </w:tr>
      <w:tr w:rsidR="00E927CE" w:rsidRPr="00861912" w:rsidTr="00D92F92">
        <w:tc>
          <w:tcPr>
            <w:tcW w:w="4605" w:type="dxa"/>
          </w:tcPr>
          <w:p w:rsidR="00E927CE" w:rsidRPr="00E41998" w:rsidRDefault="00BC3AF4" w:rsidP="00D92F92">
            <w:pPr>
              <w:jc w:val="center"/>
            </w:pPr>
            <w:r>
              <w:t>Mgr. Ing. Robert Hebk</w:t>
            </w:r>
            <w:r w:rsidR="00E41998" w:rsidRPr="00E41998">
              <w:t>ý</w:t>
            </w:r>
          </w:p>
          <w:p w:rsidR="00E927CE" w:rsidRPr="00E41998" w:rsidRDefault="00E927CE" w:rsidP="00D92F92">
            <w:pPr>
              <w:jc w:val="center"/>
            </w:pPr>
            <w:r w:rsidRPr="00E41998">
              <w:t>místostarost</w:t>
            </w:r>
            <w:r w:rsidR="00E41998" w:rsidRPr="00E41998">
              <w:t>a</w:t>
            </w:r>
          </w:p>
        </w:tc>
        <w:tc>
          <w:tcPr>
            <w:tcW w:w="4605" w:type="dxa"/>
          </w:tcPr>
          <w:p w:rsidR="00E927CE" w:rsidRPr="00E41998" w:rsidRDefault="00E41998" w:rsidP="00D92F92">
            <w:pPr>
              <w:jc w:val="center"/>
            </w:pPr>
            <w:r w:rsidRPr="00E41998">
              <w:t>Luděk Pěnkava</w:t>
            </w:r>
          </w:p>
          <w:p w:rsidR="00E927CE" w:rsidRPr="00861912" w:rsidRDefault="00E927CE" w:rsidP="00D92F92">
            <w:pPr>
              <w:jc w:val="center"/>
            </w:pPr>
            <w:r w:rsidRPr="00E41998">
              <w:t>starosta</w:t>
            </w:r>
          </w:p>
        </w:tc>
      </w:tr>
    </w:tbl>
    <w:p w:rsidR="00205848" w:rsidRDefault="00205848" w:rsidP="00CA1F3A">
      <w:pPr>
        <w:pStyle w:val="Zkladntext3"/>
        <w:spacing w:after="0"/>
        <w:rPr>
          <w:sz w:val="24"/>
          <w:szCs w:val="24"/>
        </w:rPr>
      </w:pPr>
    </w:p>
    <w:p w:rsidR="00CA1F3A" w:rsidRDefault="00CA1F3A" w:rsidP="00CA1F3A">
      <w:pPr>
        <w:pStyle w:val="Zkladntext3"/>
        <w:spacing w:after="0"/>
        <w:rPr>
          <w:sz w:val="24"/>
          <w:szCs w:val="24"/>
        </w:rPr>
      </w:pPr>
      <w:r w:rsidRPr="00EA2F22">
        <w:rPr>
          <w:sz w:val="24"/>
          <w:szCs w:val="24"/>
        </w:rPr>
        <w:t>V</w:t>
      </w:r>
      <w:r w:rsidR="00D26C4C">
        <w:rPr>
          <w:sz w:val="24"/>
          <w:szCs w:val="24"/>
        </w:rPr>
        <w:t>yvěšeno na úřední desce dne:</w:t>
      </w:r>
      <w:r w:rsidR="00D26C4C">
        <w:rPr>
          <w:sz w:val="24"/>
          <w:szCs w:val="24"/>
        </w:rPr>
        <w:tab/>
        <w:t>__. __</w:t>
      </w:r>
      <w:r w:rsidRPr="00EA2F22">
        <w:rPr>
          <w:sz w:val="24"/>
          <w:szCs w:val="24"/>
        </w:rPr>
        <w:t xml:space="preserve">. </w:t>
      </w:r>
      <w:r w:rsidR="00E41998">
        <w:rPr>
          <w:sz w:val="24"/>
          <w:szCs w:val="24"/>
        </w:rPr>
        <w:t>2020</w:t>
      </w:r>
    </w:p>
    <w:p w:rsidR="00CA1F3A" w:rsidRPr="00EA2F22" w:rsidRDefault="00E57B8E" w:rsidP="00CA1F3A">
      <w:pPr>
        <w:pStyle w:val="Zkladntext3"/>
        <w:spacing w:after="0"/>
        <w:rPr>
          <w:color w:val="0000FF"/>
          <w:sz w:val="24"/>
          <w:szCs w:val="24"/>
        </w:rPr>
      </w:pPr>
      <w:r>
        <w:rPr>
          <w:sz w:val="24"/>
          <w:szCs w:val="24"/>
        </w:rPr>
        <w:t>Sejm</w:t>
      </w:r>
      <w:r w:rsidR="00D26C4C">
        <w:rPr>
          <w:sz w:val="24"/>
          <w:szCs w:val="24"/>
        </w:rPr>
        <w:t>uto z úřední desky dne:</w:t>
      </w:r>
      <w:r w:rsidR="00D26C4C">
        <w:rPr>
          <w:sz w:val="24"/>
          <w:szCs w:val="24"/>
        </w:rPr>
        <w:tab/>
      </w:r>
      <w:r w:rsidR="00D26C4C">
        <w:rPr>
          <w:sz w:val="24"/>
          <w:szCs w:val="24"/>
        </w:rPr>
        <w:tab/>
        <w:t>__. __</w:t>
      </w:r>
      <w:r w:rsidR="00CA1F3A" w:rsidRPr="00EA2F22">
        <w:rPr>
          <w:sz w:val="24"/>
          <w:szCs w:val="24"/>
        </w:rPr>
        <w:t>. 20</w:t>
      </w:r>
      <w:r w:rsidR="00E41998">
        <w:rPr>
          <w:sz w:val="24"/>
          <w:szCs w:val="24"/>
        </w:rPr>
        <w:t>20</w:t>
      </w:r>
    </w:p>
    <w:sectPr w:rsidR="00CA1F3A" w:rsidRPr="00EA2F22" w:rsidSect="00205848">
      <w:footnotePr>
        <w:numStart w:val="2"/>
      </w:footnotePr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30" w:rsidRDefault="00897E30">
      <w:r>
        <w:separator/>
      </w:r>
    </w:p>
  </w:endnote>
  <w:endnote w:type="continuationSeparator" w:id="0">
    <w:p w:rsidR="00897E30" w:rsidRDefault="0089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30" w:rsidRDefault="00897E30">
      <w:r>
        <w:separator/>
      </w:r>
    </w:p>
  </w:footnote>
  <w:footnote w:type="continuationSeparator" w:id="0">
    <w:p w:rsidR="00897E30" w:rsidRDefault="00897E30">
      <w:r>
        <w:continuationSeparator/>
      </w:r>
    </w:p>
  </w:footnote>
  <w:footnote w:id="1">
    <w:p w:rsidR="0084097F" w:rsidRPr="00BF4345" w:rsidRDefault="0084097F" w:rsidP="00614AF2">
      <w:pPr>
        <w:pStyle w:val="Textpoznpodarou"/>
        <w:jc w:val="both"/>
      </w:pPr>
      <w:r w:rsidRPr="00BF4345">
        <w:rPr>
          <w:rStyle w:val="Znakapoznpodarou"/>
        </w:rPr>
        <w:t>1)</w:t>
      </w:r>
      <w:r w:rsidRPr="00BF4345">
        <w:t xml:space="preserve"> § 34 zákona č. 128/2000 Sb., o obcích (obecní zřízení), ve znění pozdějších předpisů.</w:t>
      </w:r>
    </w:p>
  </w:footnote>
  <w:footnote w:id="2">
    <w:p w:rsidR="0084097F" w:rsidRDefault="0084097F" w:rsidP="001B7706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takovou osobou </w:t>
      </w:r>
      <w:r w:rsidR="0011433D">
        <w:t>může být</w:t>
      </w:r>
      <w:r>
        <w:t xml:space="preserve"> např. chovatel psa, jeho vlastník nebo doprovázející osoba</w:t>
      </w:r>
    </w:p>
  </w:footnote>
  <w:footnote w:id="3">
    <w:p w:rsidR="00E27364" w:rsidRPr="00D44569" w:rsidRDefault="00E27364" w:rsidP="00E27364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 § 5 odst. 1 písm. f) zákona č. 251/2016 Sb., o některých přestupcích</w:t>
      </w:r>
      <w:r>
        <w:t>, ve znění pozdějších předpisů</w:t>
      </w:r>
      <w:r w:rsidRPr="00D44569">
        <w:t xml:space="preserve"> („Fyzická osoba se dopustí přestupku tím, že znečistí veřejné prostranství, veřejně přístupný objekt nebo veřejně prospěšné zařízení anebo zanedbá povinnost úklidu veřejného prostranství.“) a § 5 odst. 2 písm. b) zákona č.</w:t>
      </w:r>
      <w:r>
        <w:t> </w:t>
      </w:r>
      <w:r w:rsidRPr="00D44569">
        <w:t>251/2016 Sb., o některých přestupcích</w:t>
      </w:r>
      <w:r>
        <w:t>, ve znění pozdějších předpisů</w:t>
      </w:r>
      <w:r w:rsidRPr="00D44569">
        <w:t xml:space="preserve"> („Právnická nebo podnikající fyzická osoba se dopustí přestupku tím, že znečistí veřejné prostranství, veřejně přístupný objekt nebo veřejně prospěšné zařízení anebo zanedbá povinnost úklidu veřejného prostranství.“); § 5 odst. 3 zákona č. 251/2016 Sb., o některých přestupcích</w:t>
      </w:r>
      <w:r>
        <w:t>, ve znění pozdějších předpisů</w:t>
      </w:r>
      <w:r w:rsidRPr="00D44569">
        <w:t xml:space="preserve"> („Za přestupek lze uložit pokutu do 20 000 Kč, jde-li přestupek podle odstavce 1 písm. f) anebo odstavce 2 písm. b).“.</w:t>
      </w:r>
    </w:p>
  </w:footnote>
  <w:footnote w:id="4">
    <w:p w:rsidR="00E27364" w:rsidRPr="00D44569" w:rsidRDefault="00E27364" w:rsidP="00E27364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 např. § 13 odst. 1 zákona č. 246/1992 Sb., na ochranu zvířat proti týrání, ve  znění pozdějších předpisů: „Každý je povinen učinit opatření proti úniku zvířat.“ a § 27 odst. 2 písm. f) zákona na ochranu zvířat proti týrání: „Fyzická osoba se jako chovatel dopustí přestupku tím, že neučiní opatření proti úniku zvířat prodle § 13 odst. 1.“, § 60 odst. 11 zákona č. 361/2000 Sb., o provozu na pozemních komunikacích a o změně některých zákonu (zákon o silničním provozu), ve znění pozdějších předpisů: „Vlastník nebo držitel domácích zvířat je povinen zabránit pobíhání těchto zvířat po pozemní komunikaci.“</w:t>
      </w:r>
    </w:p>
  </w:footnote>
  <w:footnote w:id="5">
    <w:p w:rsidR="00CA1F3A" w:rsidRPr="00D44569" w:rsidRDefault="00CA1F3A" w:rsidP="00CA1F3A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 např. zákon č. 553/1991 Sb., o obecní policii, ve znění pozdějších předpisů, zákon č. 273/2008 Sb., o Policii České republiky, ve znění pozdějších předpisů, zákon č. 13/1993 Sb., celní zákon, ve znění pozdějších </w:t>
      </w:r>
      <w:r w:rsidR="00EA2F22">
        <w:t>předpisů</w:t>
      </w:r>
      <w:r w:rsidRPr="00D44569">
        <w:t>, zákon č. 555/1992 Sb., o Vězeňské službě a justiční stráži České republiky, ve znění pozdějších předpisů</w:t>
      </w:r>
    </w:p>
  </w:footnote>
  <w:footnote w:id="6">
    <w:p w:rsidR="00CA1F3A" w:rsidRPr="00D44569" w:rsidRDefault="00CA1F3A" w:rsidP="00CA1F3A">
      <w:pPr>
        <w:pStyle w:val="Textpoznpodarou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 např. Pokyn Generálního ředitele Hasičského záchranného sboru ČR č. 41/2012 </w:t>
      </w:r>
    </w:p>
  </w:footnote>
  <w:footnote w:id="7">
    <w:p w:rsidR="00CA1F3A" w:rsidRPr="00D44569" w:rsidRDefault="00CA1F3A" w:rsidP="00CA1F3A">
      <w:pPr>
        <w:pStyle w:val="Textpoznpodarou"/>
        <w:ind w:left="198" w:hanging="198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> ustanovení § 30 odst. 3 zákona č. 372/2011 Sb., o zdravotních službách a podmínkách jejich poskytování, ve</w:t>
      </w:r>
      <w:r w:rsidR="00EA2F22">
        <w:t> </w:t>
      </w:r>
      <w:r w:rsidRPr="00D44569">
        <w:t>znění pozdějších předpisů a § 2 vyhlášky č. 388/2011 Sb., o provedení některých ustanovení zákona o</w:t>
      </w:r>
      <w:r w:rsidR="00EA2F22">
        <w:t> </w:t>
      </w:r>
      <w:r w:rsidRPr="00D44569">
        <w:t>poskytování dávek osobám se zdravotním postižením, ve znění pozdějších předpisů</w:t>
      </w:r>
    </w:p>
  </w:footnote>
  <w:footnote w:id="8">
    <w:p w:rsidR="00CA1F3A" w:rsidRPr="00D44569" w:rsidRDefault="00CA1F3A" w:rsidP="00CA1F3A">
      <w:pPr>
        <w:pStyle w:val="Textpoznpodarou"/>
        <w:ind w:left="198" w:hanging="198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> ustanovení § 44 odst. 1 zákona č. 449/2001 Sb., o myslivosti, ve znění pozdějších předpisů</w:t>
      </w:r>
    </w:p>
  </w:footnote>
  <w:footnote w:id="9">
    <w:p w:rsidR="00CA1F3A" w:rsidRPr="00D44569" w:rsidRDefault="00CA1F3A" w:rsidP="00CA1F3A">
      <w:pPr>
        <w:pStyle w:val="Textpoznpodarou"/>
        <w:jc w:val="both"/>
      </w:pPr>
      <w:r w:rsidRPr="00D44569">
        <w:rPr>
          <w:rStyle w:val="Znakapoznpodarou"/>
        </w:rPr>
        <w:footnoteRef/>
      </w:r>
      <w:r w:rsidRPr="00D44569">
        <w:rPr>
          <w:vertAlign w:val="superscript"/>
        </w:rPr>
        <w:t>)</w:t>
      </w:r>
      <w:r w:rsidRPr="00D44569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3FE7"/>
    <w:multiLevelType w:val="hybridMultilevel"/>
    <w:tmpl w:val="7CB80342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 w:hint="default"/>
      </w:rPr>
    </w:lvl>
    <w:lvl w:ilvl="2" w:tplc="24C867F2">
      <w:start w:val="1"/>
      <w:numFmt w:val="decimal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85C65"/>
    <w:multiLevelType w:val="hybridMultilevel"/>
    <w:tmpl w:val="1BCE0762"/>
    <w:lvl w:ilvl="0" w:tplc="15E42A4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5938"/>
    <w:multiLevelType w:val="hybridMultilevel"/>
    <w:tmpl w:val="E69A5E14"/>
    <w:lvl w:ilvl="0" w:tplc="FBBACB4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37E5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2A4420"/>
    <w:multiLevelType w:val="hybridMultilevel"/>
    <w:tmpl w:val="2838732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D38DA7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3C1D96"/>
    <w:multiLevelType w:val="hybridMultilevel"/>
    <w:tmpl w:val="E16CA866"/>
    <w:lvl w:ilvl="0" w:tplc="C33C655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96BDC"/>
    <w:multiLevelType w:val="hybridMultilevel"/>
    <w:tmpl w:val="609CC8D8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6E7C40"/>
    <w:multiLevelType w:val="hybridMultilevel"/>
    <w:tmpl w:val="08BEB77E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E4E7D"/>
    <w:multiLevelType w:val="hybridMultilevel"/>
    <w:tmpl w:val="1C647FE2"/>
    <w:lvl w:ilvl="0" w:tplc="FBBACB4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A8507346">
      <w:start w:val="1"/>
      <w:numFmt w:val="upperLetter"/>
      <w:lvlText w:val="%2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0">
    <w:nsid w:val="47733A4D"/>
    <w:multiLevelType w:val="hybridMultilevel"/>
    <w:tmpl w:val="A72E1994"/>
    <w:lvl w:ilvl="0" w:tplc="4D38DA7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6E639E"/>
    <w:multiLevelType w:val="hybridMultilevel"/>
    <w:tmpl w:val="EC44AFC6"/>
    <w:lvl w:ilvl="0" w:tplc="1BCA65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4455CC"/>
    <w:multiLevelType w:val="hybridMultilevel"/>
    <w:tmpl w:val="11F0A086"/>
    <w:lvl w:ilvl="0" w:tplc="194C01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50AAC"/>
    <w:multiLevelType w:val="hybridMultilevel"/>
    <w:tmpl w:val="18B6500A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C61660"/>
    <w:multiLevelType w:val="multilevel"/>
    <w:tmpl w:val="609CC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5"/>
  </w:num>
  <w:num w:numId="8">
    <w:abstractNumId w:val="1"/>
  </w:num>
  <w:num w:numId="9">
    <w:abstractNumId w:val="3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  <w:num w:numId="14">
    <w:abstractNumId w:val="4"/>
  </w:num>
  <w:num w:numId="15">
    <w:abstractNumId w:val="13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EB"/>
    <w:rsid w:val="0000099F"/>
    <w:rsid w:val="000370F3"/>
    <w:rsid w:val="00066F2F"/>
    <w:rsid w:val="00067FDC"/>
    <w:rsid w:val="00080620"/>
    <w:rsid w:val="0008413F"/>
    <w:rsid w:val="00090EE4"/>
    <w:rsid w:val="000950D9"/>
    <w:rsid w:val="000A4721"/>
    <w:rsid w:val="000A5023"/>
    <w:rsid w:val="000B07EB"/>
    <w:rsid w:val="000F1458"/>
    <w:rsid w:val="000F562E"/>
    <w:rsid w:val="000F7CDE"/>
    <w:rsid w:val="0011433D"/>
    <w:rsid w:val="00157C36"/>
    <w:rsid w:val="00181885"/>
    <w:rsid w:val="001A256C"/>
    <w:rsid w:val="001B7706"/>
    <w:rsid w:val="001C0657"/>
    <w:rsid w:val="001C43B4"/>
    <w:rsid w:val="001D0C40"/>
    <w:rsid w:val="00200777"/>
    <w:rsid w:val="00205848"/>
    <w:rsid w:val="00246188"/>
    <w:rsid w:val="00262849"/>
    <w:rsid w:val="00273116"/>
    <w:rsid w:val="002D2436"/>
    <w:rsid w:val="003674CA"/>
    <w:rsid w:val="003722C4"/>
    <w:rsid w:val="00376A1B"/>
    <w:rsid w:val="00394C35"/>
    <w:rsid w:val="003D2C77"/>
    <w:rsid w:val="003D741A"/>
    <w:rsid w:val="003E581D"/>
    <w:rsid w:val="003E7EE2"/>
    <w:rsid w:val="003F5011"/>
    <w:rsid w:val="003F663D"/>
    <w:rsid w:val="004022A6"/>
    <w:rsid w:val="00415C15"/>
    <w:rsid w:val="00420D24"/>
    <w:rsid w:val="004448C3"/>
    <w:rsid w:val="00455BB0"/>
    <w:rsid w:val="0046734F"/>
    <w:rsid w:val="004734E4"/>
    <w:rsid w:val="004E5A86"/>
    <w:rsid w:val="004F30A1"/>
    <w:rsid w:val="00524398"/>
    <w:rsid w:val="0053001B"/>
    <w:rsid w:val="005373DF"/>
    <w:rsid w:val="00541B44"/>
    <w:rsid w:val="0055077D"/>
    <w:rsid w:val="005D4720"/>
    <w:rsid w:val="00601FEC"/>
    <w:rsid w:val="00614AF2"/>
    <w:rsid w:val="006152A0"/>
    <w:rsid w:val="0065238A"/>
    <w:rsid w:val="0067714F"/>
    <w:rsid w:val="00686F28"/>
    <w:rsid w:val="006B4677"/>
    <w:rsid w:val="006D21DE"/>
    <w:rsid w:val="006E61CA"/>
    <w:rsid w:val="006E756E"/>
    <w:rsid w:val="00712962"/>
    <w:rsid w:val="00720D63"/>
    <w:rsid w:val="00771C6A"/>
    <w:rsid w:val="007763C2"/>
    <w:rsid w:val="00783F0F"/>
    <w:rsid w:val="00797C41"/>
    <w:rsid w:val="007A6650"/>
    <w:rsid w:val="007B7051"/>
    <w:rsid w:val="007C6DEF"/>
    <w:rsid w:val="007D1AA2"/>
    <w:rsid w:val="007E6A93"/>
    <w:rsid w:val="00802F1F"/>
    <w:rsid w:val="008056E0"/>
    <w:rsid w:val="00816874"/>
    <w:rsid w:val="00821160"/>
    <w:rsid w:val="00825D07"/>
    <w:rsid w:val="008276E1"/>
    <w:rsid w:val="008326DB"/>
    <w:rsid w:val="0084097F"/>
    <w:rsid w:val="00881CDC"/>
    <w:rsid w:val="00897E30"/>
    <w:rsid w:val="008C2ABD"/>
    <w:rsid w:val="008C6FA7"/>
    <w:rsid w:val="008F0153"/>
    <w:rsid w:val="0090001B"/>
    <w:rsid w:val="009173A0"/>
    <w:rsid w:val="00966949"/>
    <w:rsid w:val="00984177"/>
    <w:rsid w:val="00984295"/>
    <w:rsid w:val="009B089B"/>
    <w:rsid w:val="009C12FD"/>
    <w:rsid w:val="009D2282"/>
    <w:rsid w:val="009E049E"/>
    <w:rsid w:val="009E79BF"/>
    <w:rsid w:val="009F7F28"/>
    <w:rsid w:val="00A10563"/>
    <w:rsid w:val="00A37211"/>
    <w:rsid w:val="00A970B6"/>
    <w:rsid w:val="00AB72B1"/>
    <w:rsid w:val="00AE1B21"/>
    <w:rsid w:val="00AE61F8"/>
    <w:rsid w:val="00AF415D"/>
    <w:rsid w:val="00B43CF5"/>
    <w:rsid w:val="00B468C2"/>
    <w:rsid w:val="00B55AC1"/>
    <w:rsid w:val="00B750B2"/>
    <w:rsid w:val="00B823AC"/>
    <w:rsid w:val="00B963A6"/>
    <w:rsid w:val="00BA7E89"/>
    <w:rsid w:val="00BC3AF4"/>
    <w:rsid w:val="00BD1CC9"/>
    <w:rsid w:val="00BE3AE6"/>
    <w:rsid w:val="00BF7416"/>
    <w:rsid w:val="00C134F7"/>
    <w:rsid w:val="00C33CEB"/>
    <w:rsid w:val="00C44E4C"/>
    <w:rsid w:val="00C54BBC"/>
    <w:rsid w:val="00C67E8A"/>
    <w:rsid w:val="00C73E64"/>
    <w:rsid w:val="00C8103C"/>
    <w:rsid w:val="00C81E92"/>
    <w:rsid w:val="00C82E4D"/>
    <w:rsid w:val="00CA1F3A"/>
    <w:rsid w:val="00CB332B"/>
    <w:rsid w:val="00CC420F"/>
    <w:rsid w:val="00CE2F9E"/>
    <w:rsid w:val="00CF04FA"/>
    <w:rsid w:val="00CF4BF6"/>
    <w:rsid w:val="00CF5260"/>
    <w:rsid w:val="00D13B2D"/>
    <w:rsid w:val="00D17C59"/>
    <w:rsid w:val="00D22F86"/>
    <w:rsid w:val="00D23060"/>
    <w:rsid w:val="00D25A39"/>
    <w:rsid w:val="00D26C4C"/>
    <w:rsid w:val="00D36C38"/>
    <w:rsid w:val="00D43433"/>
    <w:rsid w:val="00D53638"/>
    <w:rsid w:val="00D87A9D"/>
    <w:rsid w:val="00D92F92"/>
    <w:rsid w:val="00D96A8E"/>
    <w:rsid w:val="00DA746E"/>
    <w:rsid w:val="00DC3A73"/>
    <w:rsid w:val="00DD0E3F"/>
    <w:rsid w:val="00DE1316"/>
    <w:rsid w:val="00DE7EBD"/>
    <w:rsid w:val="00DF5F1C"/>
    <w:rsid w:val="00E124F6"/>
    <w:rsid w:val="00E130A8"/>
    <w:rsid w:val="00E2518D"/>
    <w:rsid w:val="00E25868"/>
    <w:rsid w:val="00E27364"/>
    <w:rsid w:val="00E27597"/>
    <w:rsid w:val="00E30FF8"/>
    <w:rsid w:val="00E407C5"/>
    <w:rsid w:val="00E41998"/>
    <w:rsid w:val="00E558D4"/>
    <w:rsid w:val="00E571CD"/>
    <w:rsid w:val="00E57B8E"/>
    <w:rsid w:val="00E636C3"/>
    <w:rsid w:val="00E65C8F"/>
    <w:rsid w:val="00E70F7C"/>
    <w:rsid w:val="00E72216"/>
    <w:rsid w:val="00E73175"/>
    <w:rsid w:val="00E73A4B"/>
    <w:rsid w:val="00E91927"/>
    <w:rsid w:val="00E927CE"/>
    <w:rsid w:val="00EA2F22"/>
    <w:rsid w:val="00EA333A"/>
    <w:rsid w:val="00EA5BAE"/>
    <w:rsid w:val="00EC5B4F"/>
    <w:rsid w:val="00EC6F06"/>
    <w:rsid w:val="00ED16C5"/>
    <w:rsid w:val="00EF0A4B"/>
    <w:rsid w:val="00F254B8"/>
    <w:rsid w:val="00F37ED3"/>
    <w:rsid w:val="00F46C08"/>
    <w:rsid w:val="00F77350"/>
    <w:rsid w:val="00F92694"/>
    <w:rsid w:val="00FA53E8"/>
    <w:rsid w:val="00FC035F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7706"/>
    <w:rPr>
      <w:sz w:val="24"/>
      <w:szCs w:val="24"/>
    </w:rPr>
  </w:style>
  <w:style w:type="paragraph" w:styleId="Nadpis1">
    <w:name w:val="heading 1"/>
    <w:basedOn w:val="Normln"/>
    <w:next w:val="Normln"/>
    <w:qFormat/>
    <w:rsid w:val="001B7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C33CEB"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C33CE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paragraph" w:styleId="Zkladntext">
    <w:name w:val="Body Text"/>
    <w:basedOn w:val="Normln"/>
    <w:rsid w:val="00C33CEB"/>
    <w:pPr>
      <w:jc w:val="both"/>
    </w:pPr>
  </w:style>
  <w:style w:type="paragraph" w:styleId="Textpoznpodarou">
    <w:name w:val="footnote text"/>
    <w:basedOn w:val="Normln"/>
    <w:link w:val="TextpoznpodarouChar"/>
    <w:rsid w:val="00C33CE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33CEB"/>
    <w:rPr>
      <w:noProof/>
      <w:lang w:val="cs-CZ" w:eastAsia="cs-CZ" w:bidi="ar-SA"/>
    </w:rPr>
  </w:style>
  <w:style w:type="character" w:styleId="Znakapoznpodarou">
    <w:name w:val="footnote reference"/>
    <w:rsid w:val="00C33CEB"/>
    <w:rPr>
      <w:vertAlign w:val="superscript"/>
    </w:rPr>
  </w:style>
  <w:style w:type="paragraph" w:customStyle="1" w:styleId="Seznamoslovan">
    <w:name w:val="Seznam očíslovaný"/>
    <w:basedOn w:val="Zkladntext"/>
    <w:rsid w:val="00C33CEB"/>
    <w:pPr>
      <w:widowControl w:val="0"/>
      <w:spacing w:after="113"/>
      <w:ind w:left="425" w:hanging="424"/>
    </w:pPr>
    <w:rPr>
      <w:noProof/>
      <w:szCs w:val="20"/>
    </w:rPr>
  </w:style>
  <w:style w:type="paragraph" w:styleId="Normlnweb">
    <w:name w:val="Normal (Web)"/>
    <w:basedOn w:val="Normln"/>
    <w:rsid w:val="00200777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C5B4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CA1F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A1F3A"/>
    <w:rPr>
      <w:sz w:val="16"/>
      <w:szCs w:val="16"/>
    </w:rPr>
  </w:style>
  <w:style w:type="table" w:styleId="Mkatabulky">
    <w:name w:val="Table Grid"/>
    <w:basedOn w:val="Normlntabulka"/>
    <w:rsid w:val="0020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7706"/>
    <w:rPr>
      <w:sz w:val="24"/>
      <w:szCs w:val="24"/>
    </w:rPr>
  </w:style>
  <w:style w:type="paragraph" w:styleId="Nadpis1">
    <w:name w:val="heading 1"/>
    <w:basedOn w:val="Normln"/>
    <w:next w:val="Normln"/>
    <w:qFormat/>
    <w:rsid w:val="001B7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C33CEB"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C33CE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paragraph" w:styleId="Zkladntext">
    <w:name w:val="Body Text"/>
    <w:basedOn w:val="Normln"/>
    <w:rsid w:val="00C33CEB"/>
    <w:pPr>
      <w:jc w:val="both"/>
    </w:pPr>
  </w:style>
  <w:style w:type="paragraph" w:styleId="Textpoznpodarou">
    <w:name w:val="footnote text"/>
    <w:basedOn w:val="Normln"/>
    <w:link w:val="TextpoznpodarouChar"/>
    <w:rsid w:val="00C33CE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33CEB"/>
    <w:rPr>
      <w:noProof/>
      <w:lang w:val="cs-CZ" w:eastAsia="cs-CZ" w:bidi="ar-SA"/>
    </w:rPr>
  </w:style>
  <w:style w:type="character" w:styleId="Znakapoznpodarou">
    <w:name w:val="footnote reference"/>
    <w:rsid w:val="00C33CEB"/>
    <w:rPr>
      <w:vertAlign w:val="superscript"/>
    </w:rPr>
  </w:style>
  <w:style w:type="paragraph" w:customStyle="1" w:styleId="Seznamoslovan">
    <w:name w:val="Seznam očíslovaný"/>
    <w:basedOn w:val="Zkladntext"/>
    <w:rsid w:val="00C33CEB"/>
    <w:pPr>
      <w:widowControl w:val="0"/>
      <w:spacing w:after="113"/>
      <w:ind w:left="425" w:hanging="424"/>
    </w:pPr>
    <w:rPr>
      <w:noProof/>
      <w:szCs w:val="20"/>
    </w:rPr>
  </w:style>
  <w:style w:type="paragraph" w:styleId="Normlnweb">
    <w:name w:val="Normal (Web)"/>
    <w:basedOn w:val="Normln"/>
    <w:rsid w:val="00200777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C5B4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CA1F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A1F3A"/>
    <w:rPr>
      <w:sz w:val="16"/>
      <w:szCs w:val="16"/>
    </w:rPr>
  </w:style>
  <w:style w:type="table" w:styleId="Mkatabulky">
    <w:name w:val="Table Grid"/>
    <w:basedOn w:val="Normlntabulka"/>
    <w:rsid w:val="0020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9C2FC-62FA-405A-99A9-2E9C9855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pohyb psů</vt:lpstr>
    </vt:vector>
  </TitlesOfParts>
  <Company>MV ČR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pohyb psů</dc:title>
  <dc:creator>Mgr. Martin Pech</dc:creator>
  <cp:lastModifiedBy>podatelna</cp:lastModifiedBy>
  <cp:revision>2</cp:revision>
  <cp:lastPrinted>2020-07-07T11:57:00Z</cp:lastPrinted>
  <dcterms:created xsi:type="dcterms:W3CDTF">2023-11-10T11:55:00Z</dcterms:created>
  <dcterms:modified xsi:type="dcterms:W3CDTF">2023-11-10T11:55:00Z</dcterms:modified>
</cp:coreProperties>
</file>