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B47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723B4B1" wp14:editId="0723B4B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065352-S</w:t>
              </w:r>
              <w:proofErr w:type="gramEnd"/>
            </w:sdtContent>
          </w:sdt>
        </w:sdtContent>
      </w:sdt>
    </w:p>
    <w:p w14:paraId="0723B48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CB9684" w14:textId="77777777" w:rsidR="00286EF9" w:rsidRPr="002F6E44" w:rsidRDefault="00286EF9" w:rsidP="00286EF9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759E5DF" w14:textId="77777777" w:rsidR="00286EF9" w:rsidRPr="00BB7011" w:rsidRDefault="00286EF9" w:rsidP="00286EF9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Středočeský kraj jako místně a věcně příslušný správní orgán podle § 49 odst. 1 písm. c) zákona č. 166/1999 Sb., o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tlumení určitých nákaz uvedených na seznamu (dále jen „Nařízení Komise 2020/687“),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ustanovením a § 75a odst. 1, 2 a 4 veterinárního zákona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ED48464" w14:textId="77777777" w:rsidR="00286EF9" w:rsidRPr="00BB7011" w:rsidRDefault="00286EF9" w:rsidP="00286EF9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29E7BBC8" w14:textId="63F17C7C" w:rsidR="00286EF9" w:rsidRPr="00BB7011" w:rsidRDefault="00286EF9" w:rsidP="00286EF9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>nařízených Státní veterinární správou pod č.j.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86EF9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Pr="00286EF9">
        <w:rPr>
          <w:rFonts w:ascii="Arial" w:eastAsia="Times New Roman" w:hAnsi="Arial" w:cs="Arial"/>
          <w:color w:val="000000"/>
          <w:lang w:eastAsia="cs-CZ"/>
        </w:rPr>
        <w:t>050697-S</w:t>
      </w:r>
      <w:proofErr w:type="gramEnd"/>
      <w:r w:rsidRPr="00286EF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F6E44">
        <w:rPr>
          <w:rFonts w:ascii="Arial" w:eastAsia="Times New Roman" w:hAnsi="Arial" w:cs="Arial"/>
          <w:color w:val="000000"/>
          <w:lang w:eastAsia="cs-CZ"/>
        </w:rPr>
        <w:t xml:space="preserve">ze dne </w:t>
      </w:r>
      <w:r>
        <w:rPr>
          <w:rFonts w:ascii="Arial" w:eastAsia="Times New Roman" w:hAnsi="Arial" w:cs="Arial"/>
          <w:color w:val="000000"/>
          <w:lang w:eastAsia="cs-CZ"/>
        </w:rPr>
        <w:t>05.04</w:t>
      </w:r>
      <w:r w:rsidRPr="002F6E44">
        <w:rPr>
          <w:rFonts w:ascii="Arial" w:eastAsia="Times New Roman" w:hAnsi="Arial" w:cs="Arial"/>
          <w:color w:val="000000"/>
          <w:lang w:eastAsia="cs-CZ"/>
        </w:rPr>
        <w:t>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 xml:space="preserve">ve znění ze dne </w:t>
      </w:r>
      <w:r>
        <w:rPr>
          <w:rFonts w:ascii="Arial" w:eastAsia="Times New Roman" w:hAnsi="Arial" w:cs="Arial"/>
          <w:color w:val="000000"/>
          <w:lang w:eastAsia="cs-CZ"/>
        </w:rPr>
        <w:t>27.04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.2023 (č.j. </w:t>
      </w:r>
      <w:r w:rsidRPr="00286EF9">
        <w:rPr>
          <w:rFonts w:ascii="Arial" w:eastAsia="Times New Roman" w:hAnsi="Arial" w:cs="Arial"/>
          <w:color w:val="000000"/>
          <w:lang w:eastAsia="cs-CZ"/>
        </w:rPr>
        <w:t>SVS/2023/060642-S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v souvislosti s výskytem nebezpečné nákazy vysoce patogenní </w:t>
      </w:r>
      <w:proofErr w:type="spellStart"/>
      <w:r w:rsidRPr="00BB7011">
        <w:rPr>
          <w:rFonts w:ascii="Arial" w:eastAsia="Times New Roman" w:hAnsi="Arial" w:cs="Arial"/>
          <w:color w:val="000000"/>
          <w:lang w:eastAsia="cs-CZ"/>
        </w:rPr>
        <w:t>aviární</w:t>
      </w:r>
      <w:proofErr w:type="spellEnd"/>
      <w:r w:rsidRPr="00BB7011">
        <w:rPr>
          <w:rFonts w:ascii="Arial" w:eastAsia="Times New Roman" w:hAnsi="Arial" w:cs="Arial"/>
          <w:color w:val="000000"/>
          <w:lang w:eastAsia="cs-CZ"/>
        </w:rPr>
        <w:t xml:space="preserve"> influenza v chovu drůbeže 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 xml:space="preserve">v katastrálním území </w:t>
      </w:r>
      <w:r w:rsidRPr="00273A13">
        <w:rPr>
          <w:rFonts w:ascii="Arial" w:eastAsia="Times New Roman" w:hAnsi="Arial" w:cs="Arial"/>
          <w:b/>
          <w:bCs/>
          <w:szCs w:val="20"/>
          <w:lang w:eastAsia="cs-CZ"/>
        </w:rPr>
        <w:t>Židněves [796786], okres Mladá Boleslav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, ve Středočeském kraji,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takto: </w:t>
      </w:r>
    </w:p>
    <w:p w14:paraId="3A1BBE20" w14:textId="77777777" w:rsidR="00286EF9" w:rsidRPr="00BB7011" w:rsidRDefault="00286EF9" w:rsidP="00286EF9">
      <w:pPr>
        <w:spacing w:after="3"/>
        <w:ind w:left="10" w:right="215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55599CA1" w14:textId="77777777" w:rsidR="00286EF9" w:rsidRPr="00BB7011" w:rsidRDefault="00286EF9" w:rsidP="00286EF9">
      <w:pPr>
        <w:spacing w:after="3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69DA9F82" w14:textId="77777777" w:rsidR="00286EF9" w:rsidRPr="00BB7011" w:rsidRDefault="00286EF9" w:rsidP="00286EF9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>zdolávacích</w:t>
      </w:r>
      <w:proofErr w:type="spellEnd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 opatření </w:t>
      </w:r>
    </w:p>
    <w:p w14:paraId="032621F6" w14:textId="77777777" w:rsidR="00286EF9" w:rsidRPr="00BB7011" w:rsidRDefault="00286EF9" w:rsidP="00286EF9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8F184C6" w14:textId="77777777" w:rsidR="00286EF9" w:rsidRPr="00BB7011" w:rsidRDefault="00286EF9" w:rsidP="00286EF9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147F98CB" w14:textId="64BE7A98" w:rsidR="00286EF9" w:rsidRPr="00BB7011" w:rsidRDefault="00286EF9" w:rsidP="00286EF9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 w:rsidRPr="00286EF9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Pr="00286EF9">
        <w:rPr>
          <w:rFonts w:ascii="Arial" w:eastAsia="Times New Roman" w:hAnsi="Arial" w:cs="Arial"/>
          <w:color w:val="000000"/>
          <w:lang w:eastAsia="cs-CZ"/>
        </w:rPr>
        <w:t>050697-S</w:t>
      </w:r>
      <w:proofErr w:type="gramEnd"/>
      <w:r w:rsidRPr="00286EF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F6E44">
        <w:rPr>
          <w:rFonts w:ascii="Arial" w:eastAsia="Times New Roman" w:hAnsi="Arial" w:cs="Arial"/>
          <w:color w:val="000000"/>
          <w:lang w:eastAsia="cs-CZ"/>
        </w:rPr>
        <w:t xml:space="preserve">ze dne </w:t>
      </w:r>
      <w:r>
        <w:rPr>
          <w:rFonts w:ascii="Arial" w:eastAsia="Times New Roman" w:hAnsi="Arial" w:cs="Arial"/>
          <w:color w:val="000000"/>
          <w:lang w:eastAsia="cs-CZ"/>
        </w:rPr>
        <w:t>05.04</w:t>
      </w:r>
      <w:r w:rsidRPr="002F6E44">
        <w:rPr>
          <w:rFonts w:ascii="Arial" w:eastAsia="Times New Roman" w:hAnsi="Arial" w:cs="Arial"/>
          <w:color w:val="000000"/>
          <w:lang w:eastAsia="cs-CZ"/>
        </w:rPr>
        <w:t>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>ve znění ze dne 27.04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.2023 (č.j. </w:t>
      </w:r>
      <w:r w:rsidRPr="00286EF9">
        <w:rPr>
          <w:rFonts w:ascii="Arial" w:eastAsia="Times New Roman" w:hAnsi="Arial" w:cs="Arial"/>
          <w:color w:val="000000"/>
          <w:lang w:eastAsia="cs-CZ"/>
        </w:rPr>
        <w:t>SVS/2023/060642-S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7E156DB2" w14:textId="77777777" w:rsidR="00286EF9" w:rsidRPr="00BB7011" w:rsidRDefault="00286EF9" w:rsidP="00286EF9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171E5095" w14:textId="77777777" w:rsidR="00286EF9" w:rsidRPr="00BB7011" w:rsidRDefault="00286EF9" w:rsidP="00286EF9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010634FB" w14:textId="77777777" w:rsidR="00286EF9" w:rsidRPr="00BB7011" w:rsidRDefault="00286EF9" w:rsidP="00286EF9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662B3448" w14:textId="77777777" w:rsidR="00286EF9" w:rsidRPr="00BB7011" w:rsidRDefault="00286EF9" w:rsidP="00286EF9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281A9B7" w14:textId="77777777" w:rsidR="00286EF9" w:rsidRPr="00BB7011" w:rsidRDefault="00286EF9" w:rsidP="00286EF9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6358A493" w14:textId="33D9679E" w:rsidR="00286EF9" w:rsidRDefault="00286EF9" w:rsidP="00286EF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A256FEEDBF34F7DA8E5C11C058FC7D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32756FC083064D3188D87100860D47B4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09.05.2023</w:t>
          </w:r>
        </w:sdtContent>
      </w:sdt>
    </w:p>
    <w:p w14:paraId="5AAE8619" w14:textId="77777777" w:rsidR="00286EF9" w:rsidRDefault="00286EF9" w:rsidP="00286EF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75A7395" w14:textId="77777777" w:rsidR="00286EF9" w:rsidRPr="00BB7011" w:rsidRDefault="00286EF9" w:rsidP="00286EF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44110228" w14:textId="77777777" w:rsidR="00286EF9" w:rsidRPr="00BB7011" w:rsidRDefault="00286EF9" w:rsidP="00286EF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F7CF939059DE4EC9AD16421516695194"/>
          </w:placeholder>
          <w:showingPlcHdr/>
        </w:sdtPr>
        <w:sdtEndPr>
          <w:rPr>
            <w:bCs/>
          </w:rPr>
        </w:sdtEndPr>
        <w:sdtContent>
          <w:r w:rsidRPr="00BB7011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5B8C8901" w14:textId="77777777" w:rsidR="00286EF9" w:rsidRPr="00BB7011" w:rsidRDefault="00286EF9" w:rsidP="00286EF9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E99D0EC65B594693833FA62BD940F0C2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965D59423E9C40B2BF2B6CCB3CD70073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BB7011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970C85A" w14:textId="77777777" w:rsidR="00286EF9" w:rsidRPr="00BB7011" w:rsidRDefault="00286EF9" w:rsidP="00286EF9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eastAsia="Calibri" w:hAnsi="Arial" w:cs="Times New Roman"/>
          <w:bCs/>
          <w:szCs w:val="20"/>
        </w:rPr>
        <w:t>podepsáno elektronicky</w:t>
      </w:r>
    </w:p>
    <w:p w14:paraId="36C2E822" w14:textId="77777777" w:rsidR="00286EF9" w:rsidRPr="00BB7011" w:rsidRDefault="00286EF9" w:rsidP="00286EF9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Cs w:val="20"/>
        </w:rPr>
      </w:pPr>
    </w:p>
    <w:p w14:paraId="6E50261B" w14:textId="77777777" w:rsidR="00286EF9" w:rsidRPr="00BB7011" w:rsidRDefault="00286EF9" w:rsidP="00286EF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13D2DE23" w14:textId="77777777" w:rsidR="00286EF9" w:rsidRPr="002F6E44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1BA08FCD" w14:textId="77777777" w:rsidR="00286EF9" w:rsidRPr="002F6E44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79B96FF4" w14:textId="77777777" w:rsidR="00286EF9" w:rsidRPr="002F6E44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2F6E44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2F6E44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5A08E497" w14:textId="77777777" w:rsidR="00286EF9" w:rsidRPr="002F6E44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223665ED" w14:textId="77777777" w:rsidR="00286EF9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Hradiště, Nymburk</w:t>
      </w:r>
    </w:p>
    <w:p w14:paraId="1BF0EC3F" w14:textId="77777777" w:rsidR="00286EF9" w:rsidRPr="002F6E44" w:rsidRDefault="00286EF9" w:rsidP="00286EF9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4A3FABE" w14:textId="77777777" w:rsidR="00286EF9" w:rsidRPr="002F6E44" w:rsidRDefault="00286EF9" w:rsidP="00286EF9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21D6F3F0" w14:textId="77777777" w:rsidR="00286EF9" w:rsidRPr="002F6E44" w:rsidRDefault="00286EF9" w:rsidP="00286EF9">
      <w:pPr>
        <w:jc w:val="both"/>
        <w:rPr>
          <w:rFonts w:ascii="Arial" w:eastAsia="Times New Roman" w:hAnsi="Arial" w:cs="Arial"/>
        </w:rPr>
      </w:pPr>
      <w:r w:rsidRPr="002F6E44">
        <w:rPr>
          <w:rFonts w:ascii="Arial" w:eastAsia="Times New Roman" w:hAnsi="Arial" w:cs="Arial"/>
        </w:rPr>
        <w:t xml:space="preserve">Březno; Dobrovice; Dolní </w:t>
      </w:r>
      <w:proofErr w:type="spellStart"/>
      <w:r w:rsidRPr="002F6E44">
        <w:rPr>
          <w:rFonts w:ascii="Arial" w:eastAsia="Times New Roman" w:hAnsi="Arial" w:cs="Arial"/>
        </w:rPr>
        <w:t>Stakory</w:t>
      </w:r>
      <w:proofErr w:type="spellEnd"/>
      <w:r w:rsidRPr="002F6E44">
        <w:rPr>
          <w:rFonts w:ascii="Arial" w:eastAsia="Times New Roman" w:hAnsi="Arial" w:cs="Arial"/>
        </w:rPr>
        <w:t xml:space="preserve">; Husí Lhota; Kolomuty; Nová </w:t>
      </w:r>
      <w:proofErr w:type="spellStart"/>
      <w:r w:rsidRPr="002F6E44">
        <w:rPr>
          <w:rFonts w:ascii="Arial" w:eastAsia="Times New Roman" w:hAnsi="Arial" w:cs="Arial"/>
        </w:rPr>
        <w:t>Telib</w:t>
      </w:r>
      <w:proofErr w:type="spellEnd"/>
      <w:r w:rsidRPr="002F6E44">
        <w:rPr>
          <w:rFonts w:ascii="Arial" w:eastAsia="Times New Roman" w:hAnsi="Arial" w:cs="Arial"/>
        </w:rPr>
        <w:t>; Plazy; Řepov; Sukorady; Židněves</w:t>
      </w:r>
    </w:p>
    <w:p w14:paraId="4E58F868" w14:textId="77777777" w:rsidR="00286EF9" w:rsidRDefault="00286EF9" w:rsidP="00286EF9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2F6E44">
        <w:rPr>
          <w:rFonts w:ascii="Arial" w:eastAsia="Times New Roman" w:hAnsi="Arial" w:cs="Arial"/>
        </w:rPr>
        <w:t>Bakov nad Jizerou; Bítouchov; Boseň; Bradlec; Ctiměřice; Dalovice; Dlouhá Lhota; Dolní Bousov; Domousnice; Hrdlořezy; Charvatce; Jabkenice; Josefův Důl; Kněžmost; Kobylnice; Kosmonosy; Kosořice; Krnsko; Ledce; Lhotky; Luštěnice; Mladá Boleslav; Mnichovo Hradiště; Němčice; Nepřevázka; Nová Ves u Bakova; Obrubce; Obruby; Pěčice; Petkovy; Písková Lhota; Přepeře; Rabakov; Rohatsko; Řitonice; Semčice; Strašnov; Ujkovice; Veselice; Vinařice; Vinec; Žerčice;</w:t>
      </w:r>
    </w:p>
    <w:p w14:paraId="0723B4B0" w14:textId="77777777" w:rsidR="00661489" w:rsidRDefault="00661489" w:rsidP="00286EF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3B4B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723B4B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723B4B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23B4B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B4B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723B4B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6EF9"/>
    <w:rsid w:val="00312826"/>
    <w:rsid w:val="00362F56"/>
    <w:rsid w:val="00461078"/>
    <w:rsid w:val="00616664"/>
    <w:rsid w:val="00661489"/>
    <w:rsid w:val="00740498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B47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256FEEDBF34F7DA8E5C11C058FC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C3897-0651-4E89-8788-0E465A490053}"/>
      </w:docPartPr>
      <w:docPartBody>
        <w:p w:rsidR="00000000" w:rsidRDefault="00792C51" w:rsidP="00792C51">
          <w:pPr>
            <w:pStyle w:val="7A256FEEDBF34F7DA8E5C11C058FC7D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2756FC083064D3188D87100860D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CB92B-840A-4EF1-985A-E9EFC20F5B03}"/>
      </w:docPartPr>
      <w:docPartBody>
        <w:p w:rsidR="00000000" w:rsidRDefault="00792C51" w:rsidP="00792C51">
          <w:pPr>
            <w:pStyle w:val="32756FC083064D3188D87100860D47B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F7CF939059DE4EC9AD16421516695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93C5-C4E1-4ED5-8628-AB2BD7F43DDF}"/>
      </w:docPartPr>
      <w:docPartBody>
        <w:p w:rsidR="00000000" w:rsidRDefault="00792C51" w:rsidP="00792C51">
          <w:pPr>
            <w:pStyle w:val="F7CF939059DE4EC9AD1642151669519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9D0EC65B594693833FA62BD940F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67983-4EB9-4E76-BB69-9A624F3C967D}"/>
      </w:docPartPr>
      <w:docPartBody>
        <w:p w:rsidR="00000000" w:rsidRDefault="00792C51" w:rsidP="00792C51">
          <w:pPr>
            <w:pStyle w:val="E99D0EC65B594693833FA62BD940F0C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5D59423E9C40B2BF2B6CCB3CD70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62FCA-456D-4F7F-9829-CBA75100A023}"/>
      </w:docPartPr>
      <w:docPartBody>
        <w:p w:rsidR="00000000" w:rsidRDefault="00792C51" w:rsidP="00792C51">
          <w:pPr>
            <w:pStyle w:val="965D59423E9C40B2BF2B6CCB3CD70073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92C5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A256FEEDBF34F7DA8E5C11C058FC7D5">
    <w:name w:val="7A256FEEDBF34F7DA8E5C11C058FC7D5"/>
    <w:rsid w:val="00792C51"/>
  </w:style>
  <w:style w:type="paragraph" w:customStyle="1" w:styleId="32756FC083064D3188D87100860D47B4">
    <w:name w:val="32756FC083064D3188D87100860D47B4"/>
    <w:rsid w:val="00792C51"/>
  </w:style>
  <w:style w:type="paragraph" w:customStyle="1" w:styleId="F7CF939059DE4EC9AD16421516695194">
    <w:name w:val="F7CF939059DE4EC9AD16421516695194"/>
    <w:rsid w:val="00792C51"/>
  </w:style>
  <w:style w:type="paragraph" w:customStyle="1" w:styleId="E99D0EC65B594693833FA62BD940F0C2">
    <w:name w:val="E99D0EC65B594693833FA62BD940F0C2"/>
    <w:rsid w:val="00792C51"/>
  </w:style>
  <w:style w:type="paragraph" w:customStyle="1" w:styleId="965D59423E9C40B2BF2B6CCB3CD70073">
    <w:name w:val="965D59423E9C40B2BF2B6CCB3CD70073"/>
    <w:rsid w:val="00792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6</cp:revision>
  <dcterms:created xsi:type="dcterms:W3CDTF">2022-01-27T08:47:00Z</dcterms:created>
  <dcterms:modified xsi:type="dcterms:W3CDTF">2023-05-09T06:30:00Z</dcterms:modified>
</cp:coreProperties>
</file>