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8"/>
        <w:widowControl w:val="0"/>
        <w:keepNext/>
        <w:keepLines/>
        <w:shd w:val="clear" w:color="auto" w:fill="auto"/>
        <w:bidi w:val="0"/>
        <w:spacing w:before="0" w:after="90"/>
        <w:ind w:left="0" w:right="0" w:firstLine="0"/>
      </w:pPr>
      <w:bookmarkStart w:id="0" w:name="bookmark0"/>
      <w:r>
        <w:rPr>
          <w:lang w:val="cs-CZ" w:eastAsia="cs-CZ" w:bidi="cs-CZ"/>
          <w:rFonts w:ascii="Times New Roman" w:eastAsia="Times New Roman" w:hAnsi="Times New Roman" w:cs="Times New Roman"/>
          <w:w w:val="100"/>
          <w:color w:val="000000"/>
          <w:position w:val="0"/>
        </w:rPr>
        <w:t>MESTYS MECHOLUPY</w:t>
      </w:r>
      <w:bookmarkEnd w:id="0"/>
    </w:p>
    <w:p>
      <w:pPr>
        <w:pStyle w:val="Style10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MĚSTYSE MĚCHOLUPY</w:t>
        <w:br/>
        <w:t>Obecně závazná vyhláška č. 1/2021,</w:t>
      </w:r>
      <w:bookmarkEnd w:id="1"/>
    </w:p>
    <w:p>
      <w:pPr>
        <w:pStyle w:val="Style12"/>
        <w:widowControl w:val="0"/>
        <w:keepNext/>
        <w:keepLines/>
        <w:shd w:val="clear" w:color="auto" w:fill="auto"/>
        <w:bidi w:val="0"/>
        <w:spacing w:before="0" w:after="249"/>
        <w:ind w:left="0" w:right="0" w:firstLine="0"/>
      </w:pPr>
      <w:bookmarkStart w:id="2" w:name="bookmark2"/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 místním poplatku za obecní systém odpadového hospodářství</w:t>
      </w:r>
      <w:bookmarkEnd w:id="2"/>
    </w:p>
    <w:p>
      <w:pPr>
        <w:pStyle w:val="Style14"/>
        <w:widowControl w:val="0"/>
        <w:keepNext w:val="0"/>
        <w:keepLines w:val="0"/>
        <w:shd w:val="clear" w:color="auto" w:fill="auto"/>
        <w:bidi w:val="0"/>
        <w:spacing w:before="0" w:after="286"/>
        <w:ind w:left="0" w:right="0" w:firstLine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Zastupitelstvo městy se Měcholupy se na svém zasedání dne 6.9.2021 usneslo usnesením č. U-261/2021 vydat na základě §14 zákona č. 565/1990 Sb., o místních poplatcích, ve znění pozdějších předpisu (dále jen „zákon o místních poplatcích"), a v souladu s ustanovením §10 písm. d) a § 84 odst. 2 písm. h) zákona č. 128/2000 Sb., o obcích (obecní zřízení), ve znění pozdějších předpisu, tuto obecně závaznou vyhlášku (dále jen „vyhláška"):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1</w:t>
      </w:r>
      <w:bookmarkEnd w:id="3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74"/>
        <w:ind w:left="0" w:right="0" w:firstLine="0"/>
      </w:pPr>
      <w:bookmarkStart w:id="4" w:name="bookmark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Úvodní ustanovení</w:t>
      </w:r>
      <w:bookmarkEnd w:id="4"/>
    </w:p>
    <w:p>
      <w:pPr>
        <w:pStyle w:val="Style18"/>
        <w:numPr>
          <w:ilvl w:val="0"/>
          <w:numId w:val="13"/>
        </w:numPr>
        <w:tabs>
          <w:tab w:leader="none" w:pos="353" w:val="left"/>
        </w:tabs>
        <w:widowControl w:val="0"/>
        <w:keepNext/>
        <w:keepLines/>
        <w:shd w:val="clear" w:color="auto" w:fill="auto"/>
        <w:bidi w:val="0"/>
        <w:jc w:val="left"/>
        <w:spacing w:before="0" w:after="0"/>
        <w:ind w:left="420" w:right="0"/>
      </w:pPr>
      <w:bookmarkStart w:id="5" w:name="bookmark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Městys Měcholupy touto vyhláškou zavádí místní poplatek za obecní systém odpadového hospodářství (dále jen „poplatek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).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2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*</w:t>
      </w:r>
      <w:bookmarkEnd w:id="5"/>
    </w:p>
    <w:p>
      <w:pPr>
        <w:pStyle w:val="Style18"/>
        <w:numPr>
          <w:ilvl w:val="0"/>
          <w:numId w:val="13"/>
        </w:numPr>
        <w:tabs>
          <w:tab w:leader="none" w:pos="387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bookmarkStart w:id="6" w:name="bookmark6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Správce poplatku je Úřad městyse Měcholupy.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3"/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4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*</w:t>
      </w:r>
      <w:bookmarkEnd w:id="6"/>
    </w:p>
    <w:p>
      <w:pPr>
        <w:pStyle w:val="Style18"/>
        <w:numPr>
          <w:ilvl w:val="0"/>
          <w:numId w:val="13"/>
        </w:numPr>
        <w:tabs>
          <w:tab w:leader="none" w:pos="387" w:val="left"/>
        </w:tabs>
        <w:widowControl w:val="0"/>
        <w:keepNext/>
        <w:keepLines/>
        <w:shd w:val="clear" w:color="auto" w:fill="auto"/>
        <w:bidi w:val="0"/>
        <w:jc w:val="both"/>
        <w:spacing w:before="0" w:after="274"/>
        <w:ind w:left="0" w:right="0" w:firstLine="0"/>
      </w:pPr>
      <w:bookmarkStart w:id="7" w:name="bookmark7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Poplatkové období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31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a dílčí období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5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’ vymezuje zákon.</w:t>
      </w:r>
      <w:bookmarkEnd w:id="7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92" w:line="281" w:lineRule="exact"/>
        <w:ind w:left="0" w:right="0" w:firstLine="0"/>
      </w:pPr>
      <w:bookmarkStart w:id="8" w:name="bookmark8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2</w:t>
        <w:br/>
        <w:t>Poplatník</w:t>
      </w:r>
      <w:bookmarkEnd w:id="8"/>
    </w:p>
    <w:p>
      <w:pPr>
        <w:pStyle w:val="Style18"/>
        <w:widowControl w:val="0"/>
        <w:keepNext/>
        <w:keepLines/>
        <w:shd w:val="clear" w:color="auto" w:fill="auto"/>
        <w:bidi w:val="0"/>
        <w:jc w:val="both"/>
        <w:spacing w:before="0" w:after="0" w:line="266" w:lineRule="exact"/>
        <w:ind w:left="0" w:right="0" w:firstLine="0"/>
      </w:pPr>
      <w:bookmarkStart w:id="9" w:name="bookmark9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Poplatníka vymezuje zákon.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6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'</w:t>
      </w:r>
      <w:bookmarkEnd w:id="9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0" w:name="bookmark10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3</w:t>
      </w:r>
      <w:bookmarkEnd w:id="10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74"/>
        <w:ind w:left="0" w:right="0" w:firstLine="0"/>
      </w:pPr>
      <w:bookmarkStart w:id="11" w:name="bookmark11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Ohlašovací povinnost</w:t>
      </w:r>
      <w:bookmarkEnd w:id="11"/>
    </w:p>
    <w:p>
      <w:pPr>
        <w:pStyle w:val="Style18"/>
        <w:numPr>
          <w:ilvl w:val="0"/>
          <w:numId w:val="15"/>
        </w:numPr>
        <w:tabs>
          <w:tab w:leader="none" w:pos="358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400" w:right="0" w:hanging="400"/>
      </w:pPr>
      <w:bookmarkStart w:id="12" w:name="bookmark12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Poplatník je povinen podat správci poplatku ohlášení do 15 dnů od vzniku poplatkové povinnosti. Ve stejné Ihútě se ohlašuje nárok na osvobození, existoval-li důvod osvobození v okamžiku vzniku poplatkové povinnosti.</w:t>
      </w:r>
      <w:bookmarkEnd w:id="12"/>
    </w:p>
    <w:p>
      <w:pPr>
        <w:pStyle w:val="Style18"/>
        <w:numPr>
          <w:ilvl w:val="0"/>
          <w:numId w:val="15"/>
        </w:numPr>
        <w:tabs>
          <w:tab w:leader="none" w:pos="387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400" w:right="0" w:hanging="400"/>
      </w:pPr>
      <w:bookmarkStart w:id="13" w:name="bookmark1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Obsah ohlášení upravuje zákon.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6)</w:t>
      </w:r>
      <w:bookmarkEnd w:id="13"/>
    </w:p>
    <w:p>
      <w:pPr>
        <w:pStyle w:val="Style18"/>
        <w:numPr>
          <w:ilvl w:val="0"/>
          <w:numId w:val="15"/>
        </w:numPr>
        <w:tabs>
          <w:tab w:leader="none" w:pos="387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400" w:right="0" w:hanging="400"/>
      </w:pPr>
      <w:bookmarkStart w:id="14" w:name="bookmark1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Postup při změně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7"/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8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’ údajů uvedených v ohlášení upravuje zákon.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9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’</w:t>
      </w:r>
      <w:bookmarkEnd w:id="14"/>
    </w:p>
    <w:p>
      <w:pPr>
        <w:pStyle w:val="Style20"/>
        <w:numPr>
          <w:ilvl w:val="0"/>
          <w:numId w:val="15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400" w:right="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Důsledky nesplnění ohlašovací povinnosti ke vzniku osvobození stanoví zákon.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10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'</w:t>
      </w:r>
    </w:p>
    <w:p>
      <w:pPr>
        <w:pStyle w:val="Style18"/>
        <w:numPr>
          <w:ilvl w:val="0"/>
          <w:numId w:val="15"/>
        </w:numPr>
        <w:tabs>
          <w:tab w:leader="none" w:pos="387" w:val="left"/>
        </w:tabs>
        <w:widowControl w:val="0"/>
        <w:keepNext/>
        <w:keepLines/>
        <w:shd w:val="clear" w:color="auto" w:fill="auto"/>
        <w:bidi w:val="0"/>
        <w:jc w:val="both"/>
        <w:spacing w:before="0" w:after="280" w:line="266" w:lineRule="exact"/>
        <w:ind w:left="400" w:right="0" w:hanging="400"/>
      </w:pPr>
      <w:bookmarkStart w:id="15" w:name="bookmark1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Poplatník není povinen podat ohlášení k osvobození podle čl. 5 odst. 2 této vyhlášky.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erence w:id="11"/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’</w:t>
      </w:r>
      <w:bookmarkEnd w:id="15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/>
        <w:ind w:left="0" w:right="0" w:firstLine="0"/>
      </w:pPr>
      <w:bookmarkStart w:id="16" w:name="bookmark16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4</w:t>
      </w:r>
      <w:bookmarkEnd w:id="16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74"/>
        <w:ind w:left="0" w:right="0" w:firstLine="0"/>
      </w:pPr>
      <w:bookmarkStart w:id="17" w:name="bookmark17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Výpočet výše poplatku</w:t>
      </w:r>
      <w:bookmarkEnd w:id="17"/>
    </w:p>
    <w:p>
      <w:pPr>
        <w:pStyle w:val="Style18"/>
        <w:numPr>
          <w:ilvl w:val="0"/>
          <w:numId w:val="17"/>
        </w:numPr>
        <w:tabs>
          <w:tab w:leader="none" w:pos="358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400" w:right="0" w:hanging="400"/>
      </w:pPr>
      <w:bookmarkStart w:id="18" w:name="bookmark18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Poplatek činí 650 Kč za poplatkové období.</w:t>
      </w:r>
      <w:bookmarkEnd w:id="18"/>
    </w:p>
    <w:p>
      <w:pPr>
        <w:pStyle w:val="Style18"/>
        <w:numPr>
          <w:ilvl w:val="0"/>
          <w:numId w:val="17"/>
        </w:numPr>
        <w:tabs>
          <w:tab w:leader="none" w:pos="387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400" w:right="0" w:hanging="400"/>
      </w:pPr>
      <w:bookmarkStart w:id="19" w:name="bookmark19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Postup pro zjištění výše poplatku v případě osvobození, nebo vzniku nebo zániku poplatkové povinnosti v průběhu kalendářního roku stanoví zákon.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! 1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’</w:t>
      </w:r>
      <w:bookmarkEnd w:id="19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54" w:line="274" w:lineRule="exact"/>
        <w:ind w:left="20" w:right="0" w:firstLine="0"/>
      </w:pPr>
      <w:bookmarkStart w:id="20" w:name="bookmark20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5</w:t>
        <w:br/>
        <w:t>Osvobození</w:t>
      </w:r>
      <w:bookmarkEnd w:id="20"/>
    </w:p>
    <w:p>
      <w:pPr>
        <w:pStyle w:val="Style20"/>
        <w:numPr>
          <w:ilvl w:val="0"/>
          <w:numId w:val="19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81" w:lineRule="exact"/>
        <w:ind w:left="360" w:right="0" w:hanging="3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Důvody osvobození od poplatku stanoví zákon.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121</w:t>
      </w:r>
    </w:p>
    <w:p>
      <w:pPr>
        <w:pStyle w:val="Style20"/>
        <w:numPr>
          <w:ilvl w:val="0"/>
          <w:numId w:val="19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272" w:line="281" w:lineRule="exact"/>
        <w:ind w:left="360" w:right="0" w:hanging="3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Od poplatku se dále touto vyhláškou</w:t>
      </w:r>
      <w:r>
        <w:rPr>
          <w:lang w:val="cs-CZ" w:eastAsia="cs-CZ" w:bidi="cs-CZ"/>
          <w:vertAlign w:val="superscript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, ,|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osvobozují na dobu trvání důvodu osvobození poplatníci s přihlášením na adrese Úřadu městyse Měcholupy č. p. 12 (ohlašovně).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/>
        <w:ind w:left="20" w:right="0" w:firstLine="0"/>
      </w:pPr>
      <w:bookmarkStart w:id="21" w:name="bookmark21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6</w:t>
      </w:r>
      <w:bookmarkEnd w:id="21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54"/>
        <w:ind w:left="20" w:right="0" w:firstLine="0"/>
      </w:pPr>
      <w:bookmarkStart w:id="22" w:name="bookmark22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Splatnost poplatku</w:t>
      </w:r>
      <w:bookmarkEnd w:id="22"/>
    </w:p>
    <w:p>
      <w:pPr>
        <w:pStyle w:val="Style20"/>
        <w:numPr>
          <w:ilvl w:val="0"/>
          <w:numId w:val="21"/>
        </w:numPr>
        <w:tabs>
          <w:tab w:leader="none" w:pos="358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360" w:right="0" w:hanging="3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Poplatek je splatný ve dvou splátkách nejpozději do 28. 2. a 31. 8. příslušného kalendářního roku. Poplatek je také možné zaplatit jednorázově do 28. 2. příslušného kalendářního roku.</w:t>
      </w:r>
    </w:p>
    <w:p>
      <w:pPr>
        <w:pStyle w:val="Style20"/>
        <w:numPr>
          <w:ilvl w:val="0"/>
          <w:numId w:val="21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0" w:line="274" w:lineRule="exact"/>
        <w:ind w:left="360" w:right="0" w:hanging="3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 případě vzniku poplatkové povinnosti (nebo zániku osvobození) po 14. 2. příslušného kalendářního roku. je poměrná výše poplatku dle čl. 4 splatná nejpozději do 30 dnů od vzniku poplatkové povinnosti (nebo zániku osvobození).</w:t>
      </w:r>
    </w:p>
    <w:p>
      <w:pPr>
        <w:pStyle w:val="Style20"/>
        <w:numPr>
          <w:ilvl w:val="0"/>
          <w:numId w:val="21"/>
        </w:numPr>
        <w:tabs>
          <w:tab w:leader="none" w:pos="387" w:val="left"/>
        </w:tabs>
        <w:widowControl w:val="0"/>
        <w:keepNext w:val="0"/>
        <w:keepLines w:val="0"/>
        <w:shd w:val="clear" w:color="auto" w:fill="auto"/>
        <w:bidi w:val="0"/>
        <w:spacing w:before="0" w:after="266" w:line="274" w:lineRule="exact"/>
        <w:ind w:left="360" w:right="0" w:hanging="3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Lhůta splatnosti neskončí poplatníkovi dříve než lhůta pro podání ohlášení podle čl. 3 této vyhlášky.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0"/>
        <w:ind w:left="20" w:right="0" w:firstLine="0"/>
      </w:pPr>
      <w:bookmarkStart w:id="23" w:name="bookmark23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7</w:t>
      </w:r>
      <w:bookmarkEnd w:id="23"/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60"/>
        <w:ind w:left="20" w:right="0" w:firstLine="0"/>
      </w:pPr>
      <w:bookmarkStart w:id="24" w:name="bookmark24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Zrušovací ustanovení</w:t>
      </w:r>
      <w:bookmarkEnd w:id="24"/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248"/>
        <w:ind w:left="360" w:right="0" w:hanging="3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Zrušuje se obecně závazná vyhláška č. 3/2007. Požární řád obce. ze dne 19. 9. 2007.</w:t>
      </w:r>
    </w:p>
    <w:p>
      <w:pPr>
        <w:pStyle w:val="Style16"/>
        <w:widowControl w:val="0"/>
        <w:keepNext/>
        <w:keepLines/>
        <w:shd w:val="clear" w:color="auto" w:fill="auto"/>
        <w:bidi w:val="0"/>
        <w:spacing w:before="0" w:after="272" w:line="281" w:lineRule="exact"/>
        <w:ind w:left="20" w:right="0" w:firstLine="0"/>
      </w:pPr>
      <w:bookmarkStart w:id="25" w:name="bookmark25"/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Článek 8</w:t>
        <w:br/>
        <w:t>Účinnost</w:t>
      </w:r>
      <w:bookmarkEnd w:id="25"/>
    </w:p>
    <w:p>
      <w:pPr>
        <w:pStyle w:val="Style20"/>
        <w:widowControl w:val="0"/>
        <w:keepNext w:val="0"/>
        <w:keepLines w:val="0"/>
        <w:shd w:val="clear" w:color="auto" w:fill="auto"/>
        <w:bidi w:val="0"/>
        <w:spacing w:before="0" w:after="447"/>
        <w:ind w:left="360" w:right="0" w:hanging="360"/>
      </w:pP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Tato vyhláška nabývá účinnosti dnem </w:t>
      </w:r>
      <w:r>
        <w:rPr>
          <w:rStyle w:val="CharStyle22"/>
        </w:rPr>
        <w:t>1.1.</w:t>
      </w:r>
      <w:r>
        <w:rPr>
          <w:lang w:val="cs-CZ" w:eastAsia="cs-CZ" w:bidi="cs-CZ"/>
          <w:sz w:val="24"/>
          <w:szCs w:val="24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 xml:space="preserve"> 2022.</w:t>
      </w:r>
    </w:p>
    <w:tbl>
      <w:tblPr>
        <w:tblOverlap w:val="never"/>
        <w:tblLayout w:type="fixed"/>
        <w:jc w:val="left"/>
      </w:tblPr>
      <w:tblGrid>
        <w:gridCol w:w="3197"/>
        <w:gridCol w:w="1994"/>
        <w:gridCol w:w="2700"/>
      </w:tblGrid>
      <w:tr>
        <w:trPr>
          <w:trHeight w:val="734" w:hRule="exact"/>
        </w:trPr>
        <w:tc>
          <w:tcPr>
            <w:shd w:val="clear" w:color="auto" w:fill="FFFFFF"/>
            <w:gridSpan w:val="3"/>
            <w:tcBorders/>
            <w:vAlign w:val="top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20"/>
              <w:ind w:left="7100" w:right="0" w:firstLine="0"/>
            </w:pPr>
            <w:r>
              <w:rPr>
                <w:rStyle w:val="CharStyle23"/>
              </w:rPr>
              <w:t>/ /</w:t>
            </w:r>
          </w:p>
          <w:p>
            <w:pPr>
              <w:pStyle w:val="Style20"/>
              <w:framePr w:w="7891" w:wrap="notBeside" w:vAnchor="text" w:hAnchor="text" w:y="1"/>
              <w:tabs>
                <w:tab w:leader="underscore" w:pos="317" w:val="left"/>
              </w:tabs>
              <w:widowControl w:val="0"/>
              <w:keepNext w:val="0"/>
              <w:keepLines w:val="0"/>
              <w:shd w:val="clear" w:color="auto" w:fill="auto"/>
              <w:bidi w:val="0"/>
              <w:spacing w:before="220" w:after="0" w:line="310" w:lineRule="exact"/>
              <w:ind w:left="0" w:right="0" w:firstLine="0"/>
            </w:pPr>
            <w:r>
              <w:rPr>
                <w:rStyle w:val="CharStyle24"/>
                <w:lang w:val="cs-CZ" w:eastAsia="cs-CZ" w:bidi="cs-CZ"/>
              </w:rPr>
              <w:tab/>
            </w:r>
            <w:r>
              <w:rPr>
                <w:rStyle w:val="CharStyle25"/>
              </w:rPr>
              <w:t xml:space="preserve">'ly </w:t>
            </w:r>
            <w:r>
              <w:rPr>
                <w:rStyle w:val="CharStyle26"/>
              </w:rPr>
              <w:t>íirl</w:t>
            </w:r>
          </w:p>
        </w:tc>
      </w:tr>
      <w:tr>
        <w:trPr>
          <w:trHeight w:val="374" w:hRule="exact"/>
        </w:trPr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220" w:firstLine="0"/>
            </w:pPr>
            <w:r>
              <w:rPr>
                <w:rStyle w:val="CharStyle23"/>
              </w:rPr>
              <w:t>Zbyšek Košťák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framePr w:w="78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0" w:firstLine="0"/>
            </w:pPr>
            <w:r>
              <w:rPr>
                <w:rStyle w:val="CharStyle23"/>
              </w:rPr>
              <w:t>Ing. Doris Černíková</w:t>
            </w:r>
          </w:p>
        </w:tc>
      </w:tr>
      <w:tr>
        <w:trPr>
          <w:trHeight w:val="389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320" w:firstLine="0"/>
            </w:pPr>
            <w:r>
              <w:rPr>
                <w:rStyle w:val="CharStyle23"/>
              </w:rPr>
              <w:t>místostarosta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8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1240" w:right="0" w:firstLine="0"/>
            </w:pPr>
            <w:r>
              <w:rPr>
                <w:rStyle w:val="CharStyle23"/>
              </w:rPr>
              <w:t>starostka</w:t>
            </w:r>
          </w:p>
        </w:tc>
      </w:tr>
      <w:tr>
        <w:trPr>
          <w:trHeight w:val="432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/>
              <w:ind w:left="0" w:right="220" w:firstLine="0"/>
            </w:pPr>
            <w:r>
              <w:rPr>
                <w:rStyle w:val="CharStyle23"/>
              </w:rPr>
              <w:t>Vyvěšeno na úřední desce dne: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20" w:right="0" w:firstLine="0"/>
            </w:pPr>
            <w:r>
              <w:rPr>
                <w:rStyle w:val="CharStyle27"/>
              </w:rPr>
              <w:t>0</w:t>
            </w:r>
            <w:r>
              <w:rPr>
                <w:rStyle w:val="CharStyle28"/>
              </w:rPr>
              <w:t xml:space="preserve"> </w:t>
            </w:r>
            <w:r>
              <w:rPr>
                <w:rStyle w:val="CharStyle27"/>
              </w:rPr>
              <w:t>7</w:t>
            </w:r>
            <w:r>
              <w:rPr>
                <w:rStyle w:val="CharStyle28"/>
              </w:rPr>
              <w:t xml:space="preserve"> -</w:t>
            </w:r>
            <w:r>
              <w:rPr>
                <w:rStyle w:val="CharStyle27"/>
              </w:rPr>
              <w:t>00-2021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8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0" w:right="0" w:firstLine="0"/>
            </w:pPr>
            <w:r>
              <w:rPr>
                <w:rStyle w:val="CharStyle23"/>
              </w:rPr>
              <w:t>Sejmuto z úřední desky dne: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20"/>
              <w:framePr w:w="7891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/>
              <w:ind w:left="220" w:right="0" w:firstLine="0"/>
            </w:pPr>
            <w:r>
              <w:rPr>
                <w:rStyle w:val="CharStyle27"/>
              </w:rPr>
              <w:t>2</w:t>
            </w:r>
            <w:r>
              <w:rPr>
                <w:rStyle w:val="CharStyle28"/>
              </w:rPr>
              <w:t xml:space="preserve"> </w:t>
            </w:r>
            <w:r>
              <w:rPr>
                <w:rStyle w:val="CharStyle27"/>
              </w:rPr>
              <w:t>3</w:t>
            </w:r>
            <w:r>
              <w:rPr>
                <w:rStyle w:val="CharStyle28"/>
              </w:rPr>
              <w:t xml:space="preserve"> -</w:t>
            </w:r>
            <w:r>
              <w:rPr>
                <w:rStyle w:val="CharStyle27"/>
              </w:rPr>
              <w:t>09</w:t>
            </w:r>
            <w:r>
              <w:rPr>
                <w:rStyle w:val="CharStyle28"/>
              </w:rPr>
              <w:t xml:space="preserve">- </w:t>
            </w:r>
            <w:r>
              <w:rPr>
                <w:rStyle w:val="CharStyle27"/>
              </w:rPr>
              <w:t>2021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7891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7891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29"/>
        <w:numPr>
          <w:ilvl w:val="0"/>
          <w:numId w:val="23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480" w:after="0"/>
        <w:ind w:left="200" w:right="0" w:hanging="200"/>
      </w:pPr>
      <w:r>
        <w:rPr>
          <w:rStyle w:val="CharStyle31"/>
          <w:i w:val="0"/>
          <w:iCs w:val="0"/>
        </w:rPr>
        <w:t xml:space="preserve">§ lOg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(Od poplatku za obecni systém odpadového hospodářství je osvobozena osoba, které poplatková povinnost vznikla z důvodu přihlášení</w:t>
      </w:r>
      <w:r>
        <w:rPr>
          <w:rStyle w:val="CharStyle31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obci a která je</w:t>
      </w:r>
    </w:p>
    <w:p>
      <w:pPr>
        <w:pStyle w:val="Style29"/>
        <w:numPr>
          <w:ilvl w:val="0"/>
          <w:numId w:val="25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poplatníkem poplatku za odkládáni komunálního odpadu z nemovité věci v jiné obci a má</w:t>
      </w:r>
      <w:r>
        <w:rPr>
          <w:rStyle w:val="CharStyle31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této jiné obci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60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bydliště,</w:t>
      </w:r>
    </w:p>
    <w:p>
      <w:pPr>
        <w:pStyle w:val="Style29"/>
        <w:numPr>
          <w:ilvl w:val="0"/>
          <w:numId w:val="25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umístěna do dětského domova pro děti do 3 let věku, školského zařízeni pro výkon ústavní nebo ochranné výchovy nebo školského zařízení pro preventivně výchovnou péči na základě rozhodnutí soudu nebo smlouvy,</w:t>
      </w:r>
    </w:p>
    <w:p>
      <w:pPr>
        <w:pStyle w:val="Style29"/>
        <w:numPr>
          <w:ilvl w:val="0"/>
          <w:numId w:val="25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umístěna do zařízení pro děti vyžadující okamžitou pomoc na základě rozhodnuti soudu, na žádost obecního úřadu obce s rozšířenou působnosti, zákonného zástupce dítěte nebo nezletilého,</w:t>
      </w:r>
    </w:p>
    <w:p>
      <w:pPr>
        <w:pStyle w:val="Style29"/>
        <w:numPr>
          <w:ilvl w:val="0"/>
          <w:numId w:val="25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umístěna v domově pro osoby se zdravotním postižením, domově pro seniory, domově se zvláštním režimem nebo v chráněném bydlení, nebo</w:t>
      </w:r>
    </w:p>
    <w:p>
      <w:pPr>
        <w:pStyle w:val="Style29"/>
        <w:numPr>
          <w:ilvl w:val="0"/>
          <w:numId w:val="25"/>
        </w:numPr>
        <w:tabs>
          <w:tab w:leader="none" w:pos="70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6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na základě zákona omezena na osobni svobodě s výjimkou osoby vykonávající trest domácího vězeni.)</w:t>
      </w:r>
    </w:p>
    <w:p>
      <w:pPr>
        <w:pStyle w:val="Style32"/>
        <w:numPr>
          <w:ilvl w:val="0"/>
          <w:numId w:val="23"/>
        </w:numPr>
        <w:tabs>
          <w:tab w:leader="none" w:pos="35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0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tím není dotčeno zákonné osvobození (např. z důvodu pobytu v zařízeních uvedených v § lOg písm. d) zákona o místních poplatcích)</w:t>
      </w:r>
    </w:p>
    <w:sectPr>
      <w:footnotePr>
        <w:pos w:val="pageBottom"/>
        <w:numFmt w:val="decimal"/>
        <w:numStart w:val="1"/>
        <w:numRestart w:val="continuous"/>
      </w:footnotePr>
      <w:pgSz w:w="11902" w:h="16841"/>
      <w:pgMar w:top="1409" w:left="1582" w:right="1162" w:bottom="132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tabs>
          <w:tab w:leader="none" w:pos="17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40" w:right="0" w:hanging="240"/>
      </w:pPr>
      <w:r>
        <w:rPr>
          <w:rStyle w:val="CharStyle4"/>
          <w:vertAlign w:val="superscript"/>
          <w:i w:val="0"/>
          <w:iCs w:val="0"/>
        </w:rPr>
        <w:footnoteRef/>
      </w:r>
      <w:r>
        <w:rPr>
          <w:rStyle w:val="CharStyle4"/>
          <w:i w:val="0"/>
          <w:iCs w:val="0"/>
        </w:rPr>
        <w:tab/>
        <w:t xml:space="preserve">§ lOd odst. 1 písm. a)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(Poplatkem za komunální odpad je poplatek za obecni systém odpadového hospodářství.)</w:t>
      </w:r>
    </w:p>
  </w:footnote>
  <w:footnote w:id="3">
    <w:p>
      <w:pPr>
        <w:pStyle w:val="Style5"/>
        <w:tabs>
          <w:tab w:leader="none" w:pos="1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 xml:space="preserve">§ 15 odst. I zákona o místních poplatcích </w:t>
      </w:r>
      <w:r>
        <w:rPr>
          <w:rStyle w:val="CharStyle7"/>
        </w:rPr>
        <w:t>(Správcem poplatku je obecní úřad.)</w:t>
      </w:r>
    </w:p>
  </w:footnote>
  <w:footnote w:id="4">
    <w:p>
      <w:pPr>
        <w:pStyle w:val="Style2"/>
        <w:tabs>
          <w:tab w:leader="none" w:pos="1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 w:hanging="260"/>
      </w:pPr>
      <w:r>
        <w:rPr>
          <w:rStyle w:val="CharStyle4"/>
          <w:vertAlign w:val="superscript"/>
          <w:i w:val="0"/>
          <w:iCs w:val="0"/>
        </w:rPr>
        <w:footnoteRef/>
      </w:r>
      <w:r>
        <w:rPr>
          <w:rStyle w:val="CharStyle4"/>
          <w:i w:val="0"/>
          <w:iCs w:val="0"/>
        </w:rPr>
        <w:tab/>
        <w:t xml:space="preserve">§ lOo odst. 1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(Poplatkovým obdobím poplatku za komunální odpad je kalendářní rok.)</w:t>
      </w:r>
    </w:p>
  </w:footnote>
  <w:footnote w:id="5">
    <w:p>
      <w:pPr>
        <w:pStyle w:val="Style2"/>
        <w:tabs>
          <w:tab w:leader="none" w:pos="20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60" w:right="0" w:hanging="260"/>
      </w:pPr>
      <w:r>
        <w:rPr>
          <w:rStyle w:val="CharStyle4"/>
          <w:vertAlign w:val="superscript"/>
          <w:i w:val="0"/>
          <w:iCs w:val="0"/>
        </w:rPr>
        <w:footnoteRef/>
      </w:r>
      <w:r>
        <w:rPr>
          <w:rStyle w:val="CharStyle4"/>
          <w:i w:val="0"/>
          <w:iCs w:val="0"/>
        </w:rPr>
        <w:tab/>
        <w:t xml:space="preserve">§ lOo odst. 2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(Dílčím obdobím poplatku za komunální odpad je kalendářní měsíc.)</w:t>
      </w:r>
    </w:p>
  </w:footnote>
  <w:footnote w:id="6">
    <w:p>
      <w:pPr>
        <w:pStyle w:val="Style2"/>
        <w:tabs>
          <w:tab w:leader="none" w:pos="16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rPr>
          <w:rStyle w:val="CharStyle4"/>
          <w:vertAlign w:val="superscript"/>
          <w:i w:val="0"/>
          <w:iCs w:val="0"/>
        </w:rPr>
        <w:footnoteRef/>
      </w:r>
      <w:r>
        <w:rPr>
          <w:rStyle w:val="CharStyle4"/>
          <w:i w:val="0"/>
          <w:iCs w:val="0"/>
        </w:rPr>
        <w:tab/>
        <w:t xml:space="preserve">§ lOe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(Poplatníkem poplatku za obecní systém odpadového hospodářství je</w:t>
      </w:r>
    </w:p>
    <w:p>
      <w:pPr>
        <w:pStyle w:val="Style2"/>
        <w:numPr>
          <w:ilvl w:val="0"/>
          <w:numId w:val="1"/>
        </w:numPr>
        <w:tabs>
          <w:tab w:leader="none" w:pos="44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hanging="1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jyzická osoba přihlášená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obci nebo</w:t>
      </w:r>
    </w:p>
    <w:p>
      <w:pPr>
        <w:pStyle w:val="Style2"/>
        <w:numPr>
          <w:ilvl w:val="0"/>
          <w:numId w:val="1"/>
        </w:numPr>
        <w:tabs>
          <w:tab w:leader="none" w:pos="48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hanging="16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vlastník nemovité věci zahrnující byt, rodinný dum nebo stavbu pro rodinnou rekreaci, ve které není přihlášena žádná Jyzická osoba a která je umístěna na území obce.);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hanging="160"/>
      </w:pPr>
      <w:r>
        <w:rPr>
          <w:rStyle w:val="CharStyle4"/>
          <w:i w:val="0"/>
          <w:iCs w:val="0"/>
        </w:rPr>
        <w:t xml:space="preserve">§ lOp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(Spoluvlastnici nemovité věci zahrnující byt, rodinný dum nebo stavbu pro rodinnou rekreaci jsou povinni plnit poplatkovou povinnost společně a nerozdílně.):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420" w:right="0" w:hanging="160"/>
      </w:pPr>
      <w:r>
        <w:rPr>
          <w:rStyle w:val="CharStyle4"/>
          <w:i w:val="0"/>
          <w:iCs w:val="0"/>
        </w:rPr>
        <w:t xml:space="preserve">§ 16c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(Pro účely poplatků se za přihlášení jýzické osoby považuje:</w:t>
      </w:r>
    </w:p>
    <w:p>
      <w:pPr>
        <w:pStyle w:val="Style2"/>
        <w:numPr>
          <w:ilvl w:val="0"/>
          <w:numId w:val="3"/>
        </w:numPr>
        <w:tabs>
          <w:tab w:leader="none" w:pos="9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8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přihlášení k trvalému pobytu podle zákona o evidenci obyvatel, nebo</w:t>
      </w:r>
    </w:p>
    <w:p>
      <w:pPr>
        <w:pStyle w:val="Style2"/>
        <w:numPr>
          <w:ilvl w:val="0"/>
          <w:numId w:val="3"/>
        </w:numPr>
        <w:tabs>
          <w:tab w:leader="none" w:pos="980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98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ohlášení místa pobytu podle zákona o pobytu cizinců na území České republiky, zákona o azylu nebo zákona o dočasné ochraně cizinců, jde-li o cizince</w:t>
      </w:r>
    </w:p>
    <w:p>
      <w:pPr>
        <w:pStyle w:val="Style2"/>
        <w:numPr>
          <w:ilvl w:val="0"/>
          <w:numId w:val="5"/>
        </w:numPr>
        <w:tabs>
          <w:tab w:leader="none" w:pos="13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3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kterému byl povolen trvalý pobyt,</w:t>
      </w:r>
    </w:p>
    <w:p>
      <w:pPr>
        <w:pStyle w:val="Style2"/>
        <w:numPr>
          <w:ilvl w:val="0"/>
          <w:numId w:val="5"/>
        </w:numPr>
        <w:tabs>
          <w:tab w:leader="none" w:pos="13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3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který na území České republiky pobývá přechodně po dobu delší než 3 měsíce,</w:t>
      </w:r>
    </w:p>
    <w:p>
      <w:pPr>
        <w:pStyle w:val="Style2"/>
        <w:numPr>
          <w:ilvl w:val="0"/>
          <w:numId w:val="5"/>
        </w:numPr>
        <w:tabs>
          <w:tab w:leader="none" w:pos="139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3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který&gt; je žadatelem o udělení mezinárodní ochrany nebo osobou strpěnou na území podle zákona o azylu anebo žadatelem o poskytnutí dočasně ochrany podle zákona o dočasné ochraně cizinců, nebo</w:t>
      </w:r>
    </w:p>
    <w:p>
      <w:pPr>
        <w:pStyle w:val="Style2"/>
        <w:numPr>
          <w:ilvl w:val="0"/>
          <w:numId w:val="5"/>
        </w:numPr>
        <w:tabs>
          <w:tab w:leader="none" w:pos="1340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1340" w:right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kterému byla udělena mezinárodni ochrana nebo jde o cizince požívajícího dočasné ochrany cizinců.)</w:t>
      </w:r>
    </w:p>
  </w:footnote>
  <w:footnote w:id="7">
    <w:p>
      <w:pPr>
        <w:pStyle w:val="Style5"/>
        <w:tabs>
          <w:tab w:leader="none" w:pos="1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 xml:space="preserve">§ 14a odst. 2, 3 a 5 zákona o místních poplatcích </w:t>
      </w:r>
      <w:r>
        <w:rPr>
          <w:rStyle w:val="CharStyle7"/>
        </w:rPr>
        <w:t>(2) V ohlášeni poplatník nebo plátce uvede</w:t>
      </w:r>
    </w:p>
    <w:p>
      <w:pPr>
        <w:pStyle w:val="Style2"/>
        <w:numPr>
          <w:ilvl w:val="0"/>
          <w:numId w:val="7"/>
        </w:numPr>
        <w:tabs>
          <w:tab w:leader="none" w:pos="55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jméno, popřípadě jména, a příjmení nebo název, obecný’ identifikátor, byl-li přidělen, místo pobytu nebo sídlo, sídlo podnikatele, popřípadě další adresu pro doručování; právnická osoba uvede též osoby, které jsou jejím jménem oprávněny’jednat v poplatkových věcech,</w:t>
      </w:r>
    </w:p>
    <w:p>
      <w:pPr>
        <w:pStyle w:val="Style2"/>
        <w:numPr>
          <w:ilvl w:val="0"/>
          <w:numId w:val="7"/>
        </w:numPr>
        <w:tabs>
          <w:tab w:leader="none" w:pos="56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čísla všech svých účtu u poskytovatelů platebních služeb, včetně poskytovatelů těchto služeb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zahraničí, užívaných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souvislosti s podnikatelskou činností, v případě, že předmět poplatku souvisí s podnikatelskou činností poplatníka nebo plátce,</w:t>
      </w:r>
    </w:p>
    <w:p>
      <w:pPr>
        <w:pStyle w:val="Style2"/>
        <w:numPr>
          <w:ilvl w:val="0"/>
          <w:numId w:val="7"/>
        </w:numPr>
        <w:tabs>
          <w:tab w:leader="none" w:pos="57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údaje rozhodné pro stanovení poplatku (včetně např. důvodů osvobození, pokud existují již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okamžiku podáni ohlášeni).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3) Poplatník nebo plátce, který’ nemá sídlo nebo bydliště na území členského státu Evropské unie. jiného smluvního státu Dohody’ o Evropském hospodářském prostoru nebo Švýcarské konfederace, mede kromě údajů požadovaných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odstavci 2 adresu svého zmocněnce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tuzemsku pro doručování.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3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5) Povinnost ohlásit údaj podle odstavce 2 nebo jeho změnu se nevztahuje na údaj. který’ může správce poplatku automatizovaným způsobem zjistil z rejstříků nebo evidencí, do nichž má zřízen automatizovaný' přistup. Okruh těchto údajů zveřejní správce poplatku na své úřední desce.)</w:t>
      </w:r>
    </w:p>
  </w:footnote>
  <w:footnote w:id="8">
    <w:p>
      <w:pPr>
        <w:pStyle w:val="Style5"/>
        <w:tabs>
          <w:tab w:leader="none" w:pos="15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ab/>
        <w:t>včetně zániku poplatkové povinnosti</w:t>
      </w:r>
    </w:p>
  </w:footnote>
  <w:footnote w:id="9">
    <w:p>
      <w:pPr>
        <w:pStyle w:val="Style2"/>
        <w:tabs>
          <w:tab w:leader="none" w:pos="20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hanging="220"/>
      </w:pPr>
      <w:r>
        <w:rPr>
          <w:rStyle w:val="CharStyle4"/>
          <w:vertAlign w:val="superscript"/>
          <w:i w:val="0"/>
          <w:iCs w:val="0"/>
        </w:rPr>
        <w:footnoteRef/>
      </w:r>
      <w:r>
        <w:rPr>
          <w:rStyle w:val="CharStyle4"/>
          <w:i w:val="0"/>
          <w:iCs w:val="0"/>
        </w:rPr>
        <w:tab/>
        <w:t xml:space="preserve">§ 14a odst. 4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(Dojde-li ke změně údajů uvedených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ohlášení, je poplatník povinen tuto změnu oznámit do 15 dnů ode dne. kdy nastala, nestanovi-li obec v obecně závazné vyhlášce delší lhůlu</w:t>
      </w:r>
      <w:r>
        <w:rPr>
          <w:rStyle w:val="CharStyle4"/>
          <w:i w:val="0"/>
          <w:iCs w:val="0"/>
        </w:rPr>
        <w:t>.)</w:t>
      </w:r>
    </w:p>
  </w:footnote>
  <w:footnote w:id="10">
    <w:p>
      <w:pPr>
        <w:pStyle w:val="Style2"/>
        <w:tabs>
          <w:tab w:leader="none" w:pos="18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hanging="220"/>
      </w:pPr>
      <w:r>
        <w:rPr>
          <w:rStyle w:val="CharStyle4"/>
          <w:vertAlign w:val="superscript"/>
          <w:i w:val="0"/>
          <w:iCs w:val="0"/>
        </w:rPr>
        <w:footnoteRef/>
      </w:r>
      <w:r>
        <w:rPr>
          <w:rStyle w:val="CharStyle4"/>
          <w:i w:val="0"/>
          <w:iCs w:val="0"/>
        </w:rPr>
        <w:tab/>
        <w:t xml:space="preserve">§ 14a odst. 6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(V případě, že poplatník nesplní povinnost ohlásit údaj rozhodný pro osvobozeni nebo úlevu od poplatku ve lhůtě stanovené obecně závaznou vyhláškou nebo ve Ihútě podle § 14a odstavce 4, nárok na osvobozeni nebo úlevu od tohoto poplatku zaniká; za nesplněni této povinnosti nelze uložit pokutu za nesplnění povinnosti nepeněžité povahy.)</w:t>
      </w:r>
    </w:p>
  </w:footnote>
  <w:footnote w:id="11">
    <w:p>
      <w:pPr>
        <w:pStyle w:val="Style2"/>
        <w:tabs>
          <w:tab w:leader="none" w:pos="21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hanging="220"/>
      </w:pPr>
      <w:r>
        <w:rPr>
          <w:rStyle w:val="CharStyle4"/>
          <w:vertAlign w:val="superscript"/>
          <w:i w:val="0"/>
          <w:iCs w:val="0"/>
        </w:rPr>
        <w:footnoteRef/>
      </w:r>
      <w:r>
        <w:rPr>
          <w:rStyle w:val="CharStyle4"/>
          <w:i w:val="0"/>
          <w:iCs w:val="0"/>
        </w:rPr>
        <w:tab/>
        <w:t xml:space="preserve">§ 14a odst. I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(Poplatník nebo plátce poplatku je povinen podat správci poplatku ohlášení, nevyloučí-li obec tuto povinnost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obecně závazné vyhlášce.)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220" w:right="0" w:hanging="220"/>
      </w:pPr>
      <w:r>
        <w:rPr>
          <w:rStyle w:val="CharStyle4"/>
          <w:vertAlign w:val="superscript"/>
          <w:i w:val="0"/>
          <w:iCs w:val="0"/>
        </w:rPr>
        <w:t>n)</w:t>
      </w:r>
      <w:r>
        <w:rPr>
          <w:rStyle w:val="CharStyle4"/>
          <w:i w:val="0"/>
          <w:iCs w:val="0"/>
        </w:rPr>
        <w:t xml:space="preserve"> § lOh odst. 2 a 3 zákona o místních poplatcích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(2) Poplatek se v případě, že poplatková povinnost vznikla z důvodu přihlášeni fyzické osoby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obci, snižuje o jednu dvanáctinu za každé dílčí období, na jehož konci</w:t>
      </w:r>
    </w:p>
    <w:p>
      <w:pPr>
        <w:pStyle w:val="Style2"/>
        <w:numPr>
          <w:ilvl w:val="0"/>
          <w:numId w:val="9"/>
        </w:numPr>
        <w:tabs>
          <w:tab w:leader="none" w:pos="4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není tato jyzická osoba přihlášena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obci, nebo</w:t>
      </w:r>
    </w:p>
    <w:p>
      <w:pPr>
        <w:pStyle w:val="Style2"/>
        <w:numPr>
          <w:ilvl w:val="0"/>
          <w:numId w:val="9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je tato jyzická osoba od poplatku osvobozena.</w:t>
      </w:r>
    </w:p>
    <w:p>
      <w:pPr>
        <w:pStyle w:val="Style2"/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3) Poplatek se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případě, že poplatková povinnost vznikla z důvodu vlastnictví jednotlivé nemovité věci zahrnující byt, rodinný’ dum nebo stavbu pro rodinnou rekreaci umístěné na tížemi obce, snižuje o jednu dvanáctinu za každé dílčí období, na jehož konci</w:t>
      </w:r>
    </w:p>
    <w:p>
      <w:pPr>
        <w:pStyle w:val="Style2"/>
        <w:numPr>
          <w:ilvl w:val="0"/>
          <w:numId w:val="11"/>
        </w:numPr>
        <w:tabs>
          <w:tab w:leader="none" w:pos="393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je</w:t>
      </w:r>
      <w:r>
        <w:rPr>
          <w:rStyle w:val="CharStyle4"/>
          <w:i w:val="0"/>
          <w:iCs w:val="0"/>
        </w:rPr>
        <w:t xml:space="preserve"> v </w:t>
      </w: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této nemovité věci přihlášena alespoň I jyzická osoba,</w:t>
      </w:r>
    </w:p>
    <w:p>
      <w:pPr>
        <w:pStyle w:val="Style2"/>
        <w:numPr>
          <w:ilvl w:val="0"/>
          <w:numId w:val="11"/>
        </w:numPr>
        <w:tabs>
          <w:tab w:leader="none" w:pos="41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poplatník nevlastni tuto nemovitou věc, nebo</w:t>
      </w:r>
    </w:p>
    <w:p>
      <w:pPr>
        <w:pStyle w:val="Style2"/>
        <w:numPr>
          <w:ilvl w:val="0"/>
          <w:numId w:val="11"/>
        </w:numPr>
        <w:tabs>
          <w:tab w:leader="none" w:pos="37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220" w:right="0" w:firstLine="0"/>
      </w:pPr>
      <w:r>
        <w:rPr>
          <w:lang w:val="cs-CZ" w:eastAsia="cs-CZ" w:bidi="cs-CZ"/>
          <w:rFonts w:ascii="Times New Roman" w:eastAsia="Times New Roman" w:hAnsi="Times New Roman" w:cs="Times New Roman"/>
          <w:w w:val="100"/>
          <w:spacing w:val="0"/>
          <w:color w:val="000000"/>
          <w:position w:val="0"/>
        </w:rPr>
        <w:t>je poplatník od poplatku osvobozen.)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4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6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8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0">
    <w:multiLevelType w:val="multilevel"/>
    <w:lvl w:ilvl="0">
      <w:start w:val="1"/>
      <w:numFmt w:val="decimal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2">
    <w:multiLevelType w:val="multilevel"/>
    <w:lvl w:ilvl="0">
      <w:start w:val="12"/>
      <w:numFmt w:val="decimal"/>
      <w:lvlText w:val="%1)"/>
      <w:rPr>
        <w:lang w:val="cs-CZ" w:eastAsia="cs-CZ" w:bidi="cs-CZ"/>
        <w:vertAlign w:val="superscript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4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/>
        <w:iCs/>
        <w:u w:val="none"/>
        <w:strike w:val="0"/>
        <w:smallCaps w:val="0"/>
        <w:sz w:val="19"/>
        <w:szCs w:val="19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Start w:val="1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/>
      <w:iCs/>
      <w:u w:val="none"/>
      <w:strike w:val="0"/>
      <w:smallCaps w:val="0"/>
      <w:sz w:val="19"/>
      <w:szCs w:val="19"/>
    </w:rPr>
  </w:style>
  <w:style w:type="character" w:customStyle="1" w:styleId="CharStyle4">
    <w:name w:val="Char Style 4"/>
    <w:basedOn w:val="CharStyle3"/>
    <w:rPr>
      <w:lang w:val="cs-CZ" w:eastAsia="cs-CZ" w:bidi="cs-CZ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character" w:customStyle="1" w:styleId="CharStyle7">
    <w:name w:val="Char Style 7"/>
    <w:basedOn w:val="CharStyle6"/>
    <w:rPr>
      <w:lang w:val="cs-CZ" w:eastAsia="cs-CZ" w:bidi="cs-CZ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9">
    <w:name w:val="Char Style 9"/>
    <w:basedOn w:val="DefaultParagraphFont"/>
    <w:link w:val="Style8"/>
    <w:rPr>
      <w:b/>
      <w:bCs/>
      <w:i w:val="0"/>
      <w:iCs w:val="0"/>
      <w:u w:val="none"/>
      <w:strike w:val="0"/>
      <w:smallCaps w:val="0"/>
      <w:sz w:val="40"/>
      <w:szCs w:val="40"/>
      <w:spacing w:val="110"/>
    </w:rPr>
  </w:style>
  <w:style w:type="character" w:customStyle="1" w:styleId="CharStyle11">
    <w:name w:val="Char Style 11"/>
    <w:basedOn w:val="DefaultParagraphFont"/>
    <w:link w:val="Style10"/>
    <w:rPr>
      <w:b/>
      <w:bCs/>
      <w:i w:val="0"/>
      <w:iCs w:val="0"/>
      <w:u w:val="none"/>
      <w:strike w:val="0"/>
      <w:smallCaps w:val="0"/>
      <w:sz w:val="32"/>
      <w:szCs w:val="32"/>
    </w:rPr>
  </w:style>
  <w:style w:type="character" w:customStyle="1" w:styleId="CharStyle13">
    <w:name w:val="Char Style 13"/>
    <w:basedOn w:val="DefaultParagraphFont"/>
    <w:link w:val="Style12"/>
    <w:rPr>
      <w:b/>
      <w:bCs/>
      <w:i w:val="0"/>
      <w:iCs w:val="0"/>
      <w:u w:val="none"/>
      <w:strike w:val="0"/>
      <w:smallCaps w:val="0"/>
      <w:sz w:val="28"/>
      <w:szCs w:val="28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/>
      <w:iCs/>
      <w:u w:val="none"/>
      <w:strike w:val="0"/>
      <w:smallCaps w:val="0"/>
    </w:rPr>
  </w:style>
  <w:style w:type="character" w:customStyle="1" w:styleId="CharStyle17">
    <w:name w:val="Char Style 17"/>
    <w:basedOn w:val="DefaultParagraphFont"/>
    <w:link w:val="Style16"/>
    <w:rPr>
      <w:b/>
      <w:bCs/>
      <w:i w:val="0"/>
      <w:iCs w:val="0"/>
      <w:u w:val="none"/>
      <w:strike w:val="0"/>
      <w:smallCaps w:val="0"/>
    </w:rPr>
  </w:style>
  <w:style w:type="character" w:customStyle="1" w:styleId="CharStyle19">
    <w:name w:val="Char Style 19"/>
    <w:basedOn w:val="DefaultParagraphFont"/>
    <w:link w:val="Style18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21">
    <w:name w:val="Char Style 21"/>
    <w:basedOn w:val="DefaultParagraphFont"/>
    <w:link w:val="Style20"/>
    <w:rPr>
      <w:b w:val="0"/>
      <w:bCs w:val="0"/>
      <w:i w:val="0"/>
      <w:iCs w:val="0"/>
      <w:u w:val="none"/>
      <w:strike w:val="0"/>
      <w:smallCaps w:val="0"/>
    </w:rPr>
  </w:style>
  <w:style w:type="character" w:customStyle="1" w:styleId="CharStyle22">
    <w:name w:val="Char Style 22"/>
    <w:basedOn w:val="CharStyle21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3">
    <w:name w:val="Char Style 23"/>
    <w:basedOn w:val="CharStyle21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Char Style 24"/>
    <w:basedOn w:val="CharStyle21"/>
    <w:rPr>
      <w:lang w:val="1024"/>
      <w:sz w:val="24"/>
      <w:szCs w:val="24"/>
      <w:rFonts w:ascii="Times New Roman" w:eastAsia="Times New Roman" w:hAnsi="Times New Roman" w:cs="Times New Roman"/>
      <w:w w:val="100"/>
      <w:spacing w:val="0"/>
      <w:color w:val="6D7B98"/>
      <w:position w:val="0"/>
    </w:rPr>
  </w:style>
  <w:style w:type="character" w:customStyle="1" w:styleId="CharStyle25">
    <w:name w:val="Char Style 25"/>
    <w:basedOn w:val="CharStyle21"/>
    <w:rPr>
      <w:lang w:val="cs-CZ" w:eastAsia="cs-CZ" w:bidi="cs-CZ"/>
      <w:i/>
      <w:iCs/>
      <w:sz w:val="28"/>
      <w:szCs w:val="28"/>
      <w:rFonts w:ascii="Times New Roman" w:eastAsia="Times New Roman" w:hAnsi="Times New Roman" w:cs="Times New Roman"/>
      <w:w w:val="100"/>
      <w:spacing w:val="0"/>
      <w:color w:val="8B9EC1"/>
      <w:position w:val="0"/>
    </w:rPr>
  </w:style>
  <w:style w:type="character" w:customStyle="1" w:styleId="CharStyle26">
    <w:name w:val="Char Style 26"/>
    <w:basedOn w:val="CharStyle21"/>
    <w:rPr>
      <w:lang w:val="cs-CZ" w:eastAsia="cs-CZ" w:bidi="cs-CZ"/>
      <w:i/>
      <w:iCs/>
      <w:sz w:val="24"/>
      <w:szCs w:val="24"/>
      <w:rFonts w:ascii="Times New Roman" w:eastAsia="Times New Roman" w:hAnsi="Times New Roman" w:cs="Times New Roman"/>
      <w:w w:val="100"/>
      <w:spacing w:val="0"/>
      <w:color w:val="8B9EC1"/>
      <w:position w:val="0"/>
    </w:rPr>
  </w:style>
  <w:style w:type="character" w:customStyle="1" w:styleId="CharStyle27">
    <w:name w:val="Char Style 27"/>
    <w:basedOn w:val="CharStyle21"/>
    <w:rPr>
      <w:lang w:val="cs-CZ" w:eastAsia="cs-CZ" w:bidi="cs-CZ"/>
      <w:b/>
      <w:bCs/>
      <w:sz w:val="24"/>
      <w:szCs w:val="24"/>
      <w:rFonts w:ascii="Times New Roman" w:eastAsia="Times New Roman" w:hAnsi="Times New Roman" w:cs="Times New Roman"/>
      <w:w w:val="60"/>
      <w:spacing w:val="0"/>
      <w:color w:val="000000"/>
      <w:position w:val="0"/>
    </w:rPr>
  </w:style>
  <w:style w:type="character" w:customStyle="1" w:styleId="CharStyle28">
    <w:name w:val="Char Style 28"/>
    <w:basedOn w:val="CharStyle21"/>
    <w:rPr>
      <w:lang w:val="cs-CZ" w:eastAsia="cs-CZ" w:bidi="cs-CZ"/>
      <w:sz w:val="8"/>
      <w:szCs w:val="8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0">
    <w:name w:val="Char Style 30"/>
    <w:basedOn w:val="DefaultParagraphFont"/>
    <w:link w:val="Style29"/>
    <w:rPr>
      <w:b w:val="0"/>
      <w:bCs w:val="0"/>
      <w:i/>
      <w:iCs/>
      <w:u w:val="none"/>
      <w:strike w:val="0"/>
      <w:smallCaps w:val="0"/>
      <w:sz w:val="19"/>
      <w:szCs w:val="19"/>
    </w:rPr>
  </w:style>
  <w:style w:type="character" w:customStyle="1" w:styleId="CharStyle31">
    <w:name w:val="Char Style 31"/>
    <w:basedOn w:val="CharStyle30"/>
    <w:rPr>
      <w:lang w:val="cs-CZ" w:eastAsia="cs-CZ" w:bidi="cs-CZ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3">
    <w:name w:val="Char Style 33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line="223" w:lineRule="exact"/>
      <w:ind w:hanging="360"/>
    </w:pPr>
    <w:rPr>
      <w:b w:val="0"/>
      <w:bCs w:val="0"/>
      <w:i/>
      <w:iCs/>
      <w:u w:val="none"/>
      <w:strike w:val="0"/>
      <w:smallCaps w:val="0"/>
      <w:sz w:val="19"/>
      <w:szCs w:val="19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both"/>
      <w:spacing w:line="223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jc w:val="center"/>
      <w:outlineLvl w:val="0"/>
      <w:spacing w:after="220" w:line="442" w:lineRule="exact"/>
    </w:pPr>
    <w:rPr>
      <w:b/>
      <w:bCs/>
      <w:i w:val="0"/>
      <w:iCs w:val="0"/>
      <w:u w:val="none"/>
      <w:strike w:val="0"/>
      <w:smallCaps w:val="0"/>
      <w:sz w:val="40"/>
      <w:szCs w:val="40"/>
      <w:spacing w:val="110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jc w:val="center"/>
      <w:outlineLvl w:val="1"/>
      <w:spacing w:before="220" w:line="605" w:lineRule="exact"/>
    </w:pPr>
    <w:rPr>
      <w:b/>
      <w:bCs/>
      <w:i w:val="0"/>
      <w:iCs w:val="0"/>
      <w:u w:val="none"/>
      <w:strike w:val="0"/>
      <w:smallCaps w:val="0"/>
      <w:sz w:val="32"/>
      <w:szCs w:val="32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FFFFFF"/>
      <w:jc w:val="center"/>
      <w:outlineLvl w:val="2"/>
      <w:spacing w:after="220" w:line="310" w:lineRule="exact"/>
    </w:pPr>
    <w:rPr>
      <w:b/>
      <w:bCs/>
      <w:i w:val="0"/>
      <w:iCs w:val="0"/>
      <w:u w:val="none"/>
      <w:strike w:val="0"/>
      <w:smallCaps w:val="0"/>
      <w:sz w:val="28"/>
      <w:szCs w:val="28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jc w:val="both"/>
      <w:spacing w:before="220" w:after="280" w:line="274" w:lineRule="exact"/>
    </w:pPr>
    <w:rPr>
      <w:b w:val="0"/>
      <w:bCs w:val="0"/>
      <w:i/>
      <w:iCs/>
      <w:u w:val="none"/>
      <w:strike w:val="0"/>
      <w:smallCaps w:val="0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FFFFFF"/>
      <w:jc w:val="center"/>
      <w:outlineLvl w:val="3"/>
      <w:spacing w:before="280" w:line="266" w:lineRule="exact"/>
    </w:pPr>
    <w:rPr>
      <w:b/>
      <w:bCs/>
      <w:i w:val="0"/>
      <w:iCs w:val="0"/>
      <w:u w:val="none"/>
      <w:strike w:val="0"/>
      <w:smallCaps w:val="0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4"/>
      <w:spacing w:before="280" w:line="274" w:lineRule="exact"/>
      <w:ind w:hanging="42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FFFFFF"/>
      <w:jc w:val="both"/>
      <w:spacing w:line="266" w:lineRule="exact"/>
      <w:ind w:hanging="400"/>
    </w:pPr>
    <w:rPr>
      <w:b w:val="0"/>
      <w:bCs w:val="0"/>
      <w:i w:val="0"/>
      <w:iCs w:val="0"/>
      <w:u w:val="none"/>
      <w:strike w:val="0"/>
      <w:smallCaps w:val="0"/>
    </w:rPr>
  </w:style>
  <w:style w:type="paragraph" w:customStyle="1" w:styleId="Style29">
    <w:name w:val="Style 29"/>
    <w:basedOn w:val="Normal"/>
    <w:link w:val="CharStyle30"/>
    <w:pPr>
      <w:widowControl w:val="0"/>
      <w:shd w:val="clear" w:color="auto" w:fill="FFFFFF"/>
      <w:spacing w:before="500" w:line="223" w:lineRule="exact"/>
      <w:ind w:hanging="240"/>
    </w:pPr>
    <w:rPr>
      <w:b w:val="0"/>
      <w:bCs w:val="0"/>
      <w:i/>
      <w:iCs/>
      <w:u w:val="none"/>
      <w:strike w:val="0"/>
      <w:smallCaps w:val="0"/>
      <w:sz w:val="19"/>
      <w:szCs w:val="19"/>
    </w:rPr>
  </w:style>
  <w:style w:type="paragraph" w:customStyle="1" w:styleId="Style32">
    <w:name w:val="Style 32"/>
    <w:basedOn w:val="Normal"/>
    <w:link w:val="CharStyle33"/>
    <w:pPr>
      <w:widowControl w:val="0"/>
      <w:shd w:val="clear" w:color="auto" w:fill="FFFFFF"/>
      <w:spacing w:line="223" w:lineRule="exact"/>
      <w:ind w:hanging="200"/>
    </w:pPr>
    <w:rPr>
      <w:b w:val="0"/>
      <w:bCs w:val="0"/>
      <w:i w:val="0"/>
      <w:iCs w:val="0"/>
      <w:u w:val="none"/>
      <w:strike w:val="0"/>
      <w:smallCaps w:val="0"/>
      <w:sz w:val="19"/>
      <w:szCs w:val="19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