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40" w:before="0" w:after="0"/>
        <w:jc w:val="center"/>
        <w:rPr>
          <w:rFonts w:ascii="Calibri" w:hAnsi="Calibri" w:eastAsia="Tahoma" w:cs="Tahoma"/>
          <w:b/>
          <w:bCs/>
          <w:sz w:val="32"/>
          <w:szCs w:val="32"/>
          <w:lang w:eastAsia="zxx" w:bidi="zxx"/>
        </w:rPr>
      </w:pPr>
      <w:r>
        <w:rPr>
          <w:rFonts w:eastAsia="Tahoma" w:cs="Tahoma" w:ascii="Calibri" w:hAnsi="Calibri"/>
          <w:b/>
          <w:bCs/>
          <w:sz w:val="32"/>
          <w:szCs w:val="32"/>
          <w:lang w:eastAsia="zxx" w:bidi="zxx"/>
        </w:rPr>
        <w:t>Město Sobotka</w:t>
      </w:r>
    </w:p>
    <w:p>
      <w:pPr>
        <w:pStyle w:val="BodyText"/>
        <w:spacing w:lineRule="auto" w:line="240" w:before="0" w:after="0"/>
        <w:jc w:val="center"/>
        <w:rPr>
          <w:rFonts w:ascii="Calibri" w:hAnsi="Calibri" w:eastAsia="Tahoma" w:cs="Tahoma"/>
          <w:b/>
          <w:bCs/>
          <w:sz w:val="28"/>
          <w:szCs w:val="28"/>
          <w:lang w:eastAsia="zxx" w:bidi="zxx"/>
        </w:rPr>
      </w:pPr>
      <w:r>
        <w:rPr>
          <w:rFonts w:eastAsia="Tahoma" w:cs="Tahoma" w:ascii="Calibri" w:hAnsi="Calibri"/>
          <w:b/>
          <w:bCs/>
          <w:sz w:val="28"/>
          <w:szCs w:val="28"/>
          <w:lang w:eastAsia="zxx" w:bidi="zxx"/>
        </w:rPr>
        <w:t>Zastupitelstvo města Sobotka</w:t>
      </w:r>
    </w:p>
    <w:p>
      <w:pPr>
        <w:pStyle w:val="BodyText"/>
        <w:spacing w:before="0" w:after="0"/>
        <w:jc w:val="center"/>
        <w:rPr>
          <w:rFonts w:eastAsia="Tahoma" w:cs="Times New Roman"/>
          <w:b/>
          <w:bCs/>
          <w:lang w:eastAsia="zxx" w:bidi="zxx"/>
        </w:rPr>
      </w:pPr>
      <w:r>
        <w:rPr/>
        <w:drawing>
          <wp:inline distT="0" distB="0" distL="0" distR="0">
            <wp:extent cx="740410" cy="898525"/>
            <wp:effectExtent l="0" t="0" r="0" b="0"/>
            <wp:docPr id="1" name="Obrázek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9" t="-179" r="-219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tLeast" w:line="280" w:before="0" w:after="0"/>
        <w:jc w:val="center"/>
        <w:rPr>
          <w:rFonts w:ascii="Calibri" w:hAnsi="Calibri"/>
          <w:sz w:val="28"/>
          <w:szCs w:val="28"/>
        </w:rPr>
      </w:pPr>
      <w:r>
        <w:rPr>
          <w:rFonts w:eastAsia="Tahoma" w:cs="Times New Roman" w:ascii="Calibri" w:hAnsi="Calibri"/>
          <w:b/>
          <w:bCs/>
          <w:sz w:val="28"/>
          <w:szCs w:val="28"/>
          <w:lang w:eastAsia="zxx" w:bidi="zxx"/>
        </w:rPr>
        <w:t>Obecně závazná vyhláška č. 1/2024</w:t>
      </w:r>
    </w:p>
    <w:p>
      <w:pPr>
        <w:pStyle w:val="BodyTextIndent"/>
        <w:ind w:hanging="0" w:start="0" w:end="0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cs="Times New Roman" w:ascii="Calibri" w:hAnsi="Calibri"/>
          <w:b/>
          <w:bCs/>
          <w:sz w:val="28"/>
          <w:szCs w:val="28"/>
        </w:rPr>
        <w:t>o nočním klidu</w:t>
      </w:r>
    </w:p>
    <w:p>
      <w:pPr>
        <w:pStyle w:val="BodyTextIndent"/>
        <w:ind w:hanging="0" w:start="0" w:end="0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cs="Times New Roman" w:ascii="Calibri" w:hAnsi="Calibri"/>
          <w:b/>
          <w:bCs/>
          <w:sz w:val="28"/>
          <w:szCs w:val="28"/>
        </w:rPr>
      </w:r>
    </w:p>
    <w:p>
      <w:pPr>
        <w:pStyle w:val="BodyText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</w:r>
    </w:p>
    <w:p>
      <w:pPr>
        <w:sectPr>
          <w:footerReference w:type="default" r:id="rId4"/>
          <w:type w:val="nextPage"/>
          <w:pgSz w:w="11906" w:h="16838"/>
          <w:pgMar w:left="1417" w:right="1417" w:gutter="0" w:header="0" w:top="1417" w:footer="567" w:bottom="113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375" w:leader="none"/>
        </w:tabs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 xml:space="preserve">Zastupitelstvo města Sobotky se na svém zasedání dne 6. 6. 2024 usneslo vydat na základě ustanovení § 10 písm. d) a § 84 odst. 2 písm. h) zákona č. 128/2000 Sb., o obcích (obecní zřízení), ve znění pozdějších předpisů, a na základě ustanovení § 5 odst. 7 zákona č. 251/2016 Sb., o některých přestupcích, ve znění pozdějších předpisů, tuto obecně závaznou vyhlášku: 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Hlava"/>
        <w:spacing w:lineRule="auto" w:line="276" w:before="0" w:after="0"/>
        <w:rPr>
          <w:rFonts w:ascii="Calibri" w:hAnsi="Calibri" w:cs="Times New Roman"/>
          <w:b w:val="false"/>
          <w:bCs w:val="false"/>
          <w:sz w:val="20"/>
          <w:szCs w:val="20"/>
        </w:rPr>
      </w:pPr>
      <w:r>
        <w:rPr>
          <w:rFonts w:cs="Times New Roman" w:ascii="Calibri" w:hAnsi="Calibri"/>
          <w:b w:val="false"/>
          <w:bCs w:val="false"/>
          <w:sz w:val="20"/>
          <w:szCs w:val="20"/>
        </w:rPr>
        <w:t>Čl. 1</w:t>
      </w:r>
    </w:p>
    <w:p>
      <w:pPr>
        <w:pStyle w:val="Hlava"/>
        <w:spacing w:lineRule="auto" w:line="276" w:before="0" w:after="57"/>
        <w:rPr>
          <w:rFonts w:ascii="Calibri" w:hAnsi="Calibri" w:cs="Times New Roman"/>
          <w:b/>
          <w:bCs/>
          <w:sz w:val="20"/>
          <w:szCs w:val="20"/>
        </w:rPr>
      </w:pPr>
      <w:r>
        <w:rPr>
          <w:rFonts w:cs="Times New Roman" w:ascii="Calibri" w:hAnsi="Calibri"/>
          <w:b/>
          <w:bCs/>
          <w:sz w:val="20"/>
          <w:szCs w:val="20"/>
        </w:rPr>
        <w:t>Předmět</w:t>
      </w:r>
    </w:p>
    <w:p>
      <w:pPr>
        <w:pStyle w:val="Hlava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Předmětem této obecně závazné vyhlášky je stanovení výjimečných případů, při nichž je doba nočního klidu vymezena dobou kratší nebo při nich</w:t>
      </w:r>
      <w:r>
        <w:rPr>
          <w:rFonts w:eastAsia="MS Mincho;ＭＳ 明朝" w:cs="Times New Roman" w:ascii="Calibri" w:hAnsi="Calibri"/>
          <w:sz w:val="20"/>
          <w:szCs w:val="20"/>
        </w:rPr>
        <w:t>ž</w:t>
      </w:r>
      <w:r>
        <w:rPr>
          <w:rFonts w:cs="Times New Roman" w:ascii="Calibri" w:hAnsi="Calibri"/>
          <w:sz w:val="20"/>
          <w:szCs w:val="20"/>
        </w:rPr>
        <w:t xml:space="preserve"> nemusí být doba nočního klidu dodr</w:t>
      </w:r>
      <w:r>
        <w:rPr>
          <w:rFonts w:eastAsia="MS Mincho;ＭＳ 明朝" w:cs="Times New Roman" w:ascii="Calibri" w:hAnsi="Calibri"/>
          <w:sz w:val="20"/>
          <w:szCs w:val="20"/>
        </w:rPr>
        <w:t>ž</w:t>
      </w:r>
      <w:r>
        <w:rPr>
          <w:rFonts w:cs="Times New Roman" w:ascii="Calibri" w:hAnsi="Calibri"/>
          <w:sz w:val="20"/>
          <w:szCs w:val="20"/>
        </w:rPr>
        <w:t>ována.</w:t>
      </w:r>
    </w:p>
    <w:p>
      <w:pPr>
        <w:pStyle w:val="Hlava"/>
        <w:spacing w:lineRule="auto" w:line="276" w:before="0" w:after="0"/>
        <w:rPr>
          <w:rFonts w:ascii="Calibri" w:hAnsi="Calibri" w:cs="Times New Roman"/>
          <w:b/>
          <w:bCs/>
          <w:sz w:val="20"/>
          <w:szCs w:val="20"/>
        </w:rPr>
      </w:pPr>
      <w:r>
        <w:rPr>
          <w:rFonts w:cs="Times New Roman" w:ascii="Calibri" w:hAnsi="Calibri"/>
          <w:b/>
          <w:bCs/>
          <w:sz w:val="20"/>
          <w:szCs w:val="20"/>
        </w:rPr>
      </w:r>
    </w:p>
    <w:p>
      <w:pPr>
        <w:pStyle w:val="Hlava"/>
        <w:spacing w:lineRule="auto" w:line="276" w:before="0" w:after="0"/>
        <w:rPr>
          <w:rFonts w:ascii="Calibri" w:hAnsi="Calibri" w:cs="Times New Roman"/>
          <w:b w:val="false"/>
          <w:bCs w:val="false"/>
          <w:sz w:val="20"/>
          <w:szCs w:val="20"/>
        </w:rPr>
      </w:pPr>
      <w:r>
        <w:rPr>
          <w:rFonts w:cs="Times New Roman" w:ascii="Calibri" w:hAnsi="Calibri"/>
          <w:b w:val="false"/>
          <w:bCs w:val="false"/>
          <w:sz w:val="20"/>
          <w:szCs w:val="20"/>
        </w:rPr>
        <w:t>Čl. 2</w:t>
      </w:r>
    </w:p>
    <w:p>
      <w:pPr>
        <w:pStyle w:val="Hlava"/>
        <w:spacing w:lineRule="auto" w:line="276" w:before="0" w:after="57"/>
        <w:rPr>
          <w:rFonts w:ascii="Calibri" w:hAnsi="Calibri" w:cs="Times New Roman"/>
          <w:b/>
          <w:bCs/>
          <w:sz w:val="20"/>
          <w:szCs w:val="20"/>
        </w:rPr>
      </w:pPr>
      <w:r>
        <w:rPr>
          <w:rFonts w:cs="Times New Roman" w:ascii="Calibri" w:hAnsi="Calibri"/>
          <w:b/>
          <w:bCs/>
          <w:sz w:val="20"/>
          <w:szCs w:val="20"/>
        </w:rPr>
        <w:t>Doba nočního klidu</w:t>
      </w:r>
    </w:p>
    <w:p>
      <w:pPr>
        <w:pStyle w:val="BodyText"/>
        <w:tabs>
          <w:tab w:val="clear" w:pos="709"/>
          <w:tab w:val="left" w:pos="345" w:leader="none"/>
          <w:tab w:val="left" w:pos="570" w:leader="none"/>
          <w:tab w:val="left" w:pos="993" w:leader="none"/>
        </w:tabs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Dobou nočního klidu se rozumí doba od dvacáté druhé do šesté hodiny.</w:t>
      </w:r>
      <w:r>
        <w:rPr>
          <w:rStyle w:val="FootnoteReference"/>
          <w:rFonts w:cs="Times New Roman" w:ascii="Calibri" w:hAnsi="Calibri"/>
          <w:sz w:val="20"/>
          <w:szCs w:val="20"/>
        </w:rPr>
        <w:footnoteReference w:id="2"/>
      </w:r>
    </w:p>
    <w:p>
      <w:pPr>
        <w:pStyle w:val="Zkladntextodsazen31"/>
        <w:spacing w:lineRule="auto" w:line="276" w:before="0" w:after="0"/>
        <w:ind w:hanging="0" w:start="0" w:end="0"/>
        <w:rPr>
          <w:rFonts w:ascii="Calibri" w:hAnsi="Calibri" w:cs="Times New Roman"/>
          <w:b/>
          <w:bCs w:val="false"/>
          <w:sz w:val="20"/>
          <w:szCs w:val="20"/>
        </w:rPr>
      </w:pPr>
      <w:r>
        <w:rPr>
          <w:rFonts w:cs="Times New Roman" w:ascii="Calibri" w:hAnsi="Calibri"/>
          <w:b/>
          <w:bCs w:val="false"/>
          <w:sz w:val="20"/>
          <w:szCs w:val="20"/>
        </w:rPr>
      </w:r>
    </w:p>
    <w:p>
      <w:pPr>
        <w:pStyle w:val="Zkladntextodsazen31"/>
        <w:spacing w:lineRule="auto" w:line="276" w:before="0" w:after="0"/>
        <w:ind w:hanging="0" w:start="0" w:end="0"/>
        <w:jc w:val="center"/>
        <w:rPr>
          <w:rFonts w:ascii="Calibri" w:hAnsi="Calibri" w:cs="Times New Roman"/>
          <w:b w:val="false"/>
          <w:bCs w:val="false"/>
          <w:sz w:val="20"/>
          <w:szCs w:val="20"/>
        </w:rPr>
      </w:pPr>
      <w:r>
        <w:rPr>
          <w:rFonts w:cs="Times New Roman" w:ascii="Calibri" w:hAnsi="Calibri"/>
          <w:b w:val="false"/>
          <w:bCs w:val="false"/>
          <w:sz w:val="20"/>
          <w:szCs w:val="20"/>
        </w:rPr>
        <w:t>Čl. 3</w:t>
      </w:r>
    </w:p>
    <w:p>
      <w:pPr>
        <w:pStyle w:val="Normal"/>
        <w:spacing w:lineRule="auto" w:line="276" w:before="0" w:after="57"/>
        <w:jc w:val="both"/>
        <w:rPr>
          <w:rFonts w:ascii="Calibri" w:hAnsi="Calibri"/>
          <w:sz w:val="20"/>
          <w:szCs w:val="20"/>
        </w:rPr>
      </w:pPr>
      <w:r>
        <w:rPr>
          <w:rFonts w:cs="Times New Roman" w:ascii="Calibri" w:hAnsi="Calibri"/>
          <w:b/>
          <w:bCs/>
          <w:sz w:val="20"/>
          <w:szCs w:val="20"/>
        </w:rPr>
        <w:t xml:space="preserve">Stanovení výjimečných případů, při nichž je doba nočního klidu vymezena dobou kratší </w:t>
      </w:r>
      <w:r>
        <w:rPr>
          <w:rFonts w:cs="Times New Roman" w:ascii="Calibri" w:hAnsi="Calibri"/>
          <w:b/>
          <w:sz w:val="20"/>
          <w:szCs w:val="20"/>
        </w:rPr>
        <w:t>nebo při</w:t>
      </w:r>
      <w:r>
        <w:rPr>
          <w:rFonts w:cs="Arial" w:ascii="Calibri" w:hAnsi="Calibri"/>
          <w:b/>
          <w:sz w:val="20"/>
          <w:szCs w:val="20"/>
        </w:rPr>
        <w:t xml:space="preserve"> </w:t>
      </w:r>
      <w:r>
        <w:rPr>
          <w:rFonts w:cs="Times New Roman" w:ascii="Calibri" w:hAnsi="Calibri"/>
          <w:b/>
          <w:sz w:val="20"/>
          <w:szCs w:val="20"/>
        </w:rPr>
        <w:t>nichž nemusí být doba nočního klidu dodržována</w:t>
      </w:r>
    </w:p>
    <w:p>
      <w:pPr>
        <w:pStyle w:val="Zkladntextodsazen21"/>
        <w:tabs>
          <w:tab w:val="clear" w:pos="709"/>
          <w:tab w:val="left" w:pos="275" w:leader="none"/>
          <w:tab w:val="left" w:pos="345" w:leader="none"/>
        </w:tabs>
        <w:spacing w:lineRule="auto" w:line="276" w:before="0" w:after="0"/>
        <w:ind w:hanging="0" w:start="0" w:end="0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ab/>
        <w:t>(1) Doba nočního klidu nemusí být dodržována:</w:t>
      </w:r>
    </w:p>
    <w:p>
      <w:pPr>
        <w:pStyle w:val="Normal"/>
        <w:spacing w:lineRule="auto" w:line="276" w:before="0" w:after="0"/>
        <w:ind w:hanging="284" w:start="284" w:end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a) v noci z 31. prosince na 1. ledna z důvodu konání oslav příchodu nového roku;</w:t>
      </w:r>
    </w:p>
    <w:p>
      <w:pPr>
        <w:pStyle w:val="BodyText"/>
        <w:spacing w:lineRule="auto" w:line="276" w:before="0" w:after="0"/>
        <w:ind w:hanging="284" w:start="284" w:end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b) 2 noci za sebou jdoucí z pátku na sobotu a ze soboty na neděli ve druhé polovině měsíce srpna z důvodu konání tradičního Soboteckého jarmarku a festivalu řemesel.</w:t>
      </w:r>
    </w:p>
    <w:p>
      <w:pPr>
        <w:pStyle w:val="Normal"/>
        <w:tabs>
          <w:tab w:val="clear" w:pos="709"/>
          <w:tab w:val="left" w:pos="350" w:leader="none"/>
          <w:tab w:val="left" w:pos="5160" w:leader="none"/>
          <w:tab w:val="left" w:pos="6855" w:leader="none"/>
        </w:tabs>
        <w:spacing w:lineRule="auto" w:line="276" w:before="0" w:after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ab/>
        <w:t>(2) Doba nočního klidu se vymezuje 1.00-6.00 hodin v následujících případech:</w:t>
      </w:r>
    </w:p>
    <w:p>
      <w:pPr>
        <w:pStyle w:val="Normal"/>
        <w:widowControl/>
        <w:tabs>
          <w:tab w:val="clear" w:pos="709"/>
          <w:tab w:val="left" w:pos="5160" w:leader="none"/>
          <w:tab w:val="left" w:pos="6855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a) v době konání tradičního festivalu českého jazyka, řeči a literatury Šrámkova Sobotka v prvním týdnu měsíce července;</w:t>
      </w:r>
    </w:p>
    <w:p>
      <w:pPr>
        <w:pStyle w:val="Normal"/>
        <w:widowControl/>
        <w:tabs>
          <w:tab w:val="clear" w:pos="709"/>
          <w:tab w:val="left" w:pos="5160" w:leader="none"/>
          <w:tab w:val="left" w:pos="6855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b) v době konání tradičního Letního kina s doprovodným kulturním programem;</w:t>
      </w:r>
    </w:p>
    <w:p>
      <w:pPr>
        <w:pStyle w:val="Normal"/>
        <w:widowControl/>
        <w:tabs>
          <w:tab w:val="clear" w:pos="709"/>
          <w:tab w:val="left" w:pos="5160" w:leader="none"/>
          <w:tab w:val="left" w:pos="6855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 xml:space="preserve">c)  v době konání </w:t>
      </w:r>
      <w:r>
        <w:rPr>
          <w:rFonts w:cs="Arial" w:ascii="Calibri" w:hAnsi="Calibri"/>
          <w:sz w:val="20"/>
          <w:szCs w:val="20"/>
        </w:rPr>
        <w:t>výroční oslavy založení Sboru dobrovolných hasičů města Sobotka konaného jednou za 5 let počínaje rokem 2024.</w:t>
      </w:r>
    </w:p>
    <w:p>
      <w:pPr>
        <w:pStyle w:val="Normal"/>
        <w:tabs>
          <w:tab w:val="clear" w:pos="709"/>
          <w:tab w:val="left" w:pos="363" w:leader="none"/>
          <w:tab w:val="left" w:pos="5160" w:leader="none"/>
          <w:tab w:val="left" w:pos="6855" w:leader="none"/>
        </w:tabs>
        <w:spacing w:lineRule="auto" w:line="276" w:before="0" w:after="0"/>
        <w:jc w:val="both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ab/>
        <w:t>(3) Informace o konkrétním termínu konání akcí uvedených v odst. 1 písm. b) a odst. 2 tohoto článku bude zveřejněna městským úřadem minimálně 5 dnů před datem jejich konání způsobem v místě obvyklým.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i/>
          <w:i/>
          <w:iCs/>
          <w:sz w:val="20"/>
          <w:szCs w:val="20"/>
        </w:rPr>
      </w:pPr>
      <w:r>
        <w:rPr>
          <w:rFonts w:cs="Times New Roman" w:ascii="Calibri" w:hAnsi="Calibri"/>
          <w:i/>
          <w:iCs/>
          <w:sz w:val="20"/>
          <w:szCs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 w:cs="Times New Roman"/>
          <w:b w:val="false"/>
          <w:bCs w:val="false"/>
          <w:sz w:val="20"/>
          <w:szCs w:val="20"/>
        </w:rPr>
      </w:pPr>
      <w:r>
        <w:rPr>
          <w:rFonts w:cs="Times New Roman" w:ascii="Calibri" w:hAnsi="Calibri"/>
          <w:b w:val="false"/>
          <w:bCs w:val="false"/>
          <w:sz w:val="20"/>
          <w:szCs w:val="20"/>
        </w:rPr>
        <w:t>Čl. 4</w:t>
      </w:r>
    </w:p>
    <w:p>
      <w:pPr>
        <w:pStyle w:val="BodyText"/>
        <w:spacing w:lineRule="auto" w:line="276" w:before="0" w:after="57"/>
        <w:jc w:val="center"/>
        <w:rPr>
          <w:rFonts w:ascii="Calibri" w:hAnsi="Calibri" w:cs="Times New Roman"/>
          <w:b/>
          <w:sz w:val="20"/>
          <w:szCs w:val="20"/>
        </w:rPr>
      </w:pPr>
      <w:r>
        <w:rPr>
          <w:rFonts w:cs="Times New Roman" w:ascii="Calibri" w:hAnsi="Calibri"/>
          <w:b/>
          <w:sz w:val="20"/>
          <w:szCs w:val="20"/>
        </w:rPr>
        <w:t>Zrušovací ustanovení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Zrušuje se obecně závazná vyhláška č. 2/2017, o nočním klidu, ze dne 29. 6. 2017.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 w:cs="Times New Roman"/>
          <w:b w:val="false"/>
          <w:bCs w:val="false"/>
          <w:sz w:val="20"/>
          <w:szCs w:val="20"/>
        </w:rPr>
      </w:pPr>
      <w:r>
        <w:rPr>
          <w:rFonts w:cs="Times New Roman" w:ascii="Calibri" w:hAnsi="Calibri"/>
          <w:b w:val="false"/>
          <w:bCs w:val="false"/>
          <w:sz w:val="20"/>
          <w:szCs w:val="20"/>
        </w:rPr>
        <w:t>Čl. 5</w:t>
      </w:r>
    </w:p>
    <w:p>
      <w:pPr>
        <w:pStyle w:val="BodyText"/>
        <w:spacing w:lineRule="auto" w:line="276" w:before="0" w:after="57"/>
        <w:jc w:val="center"/>
        <w:rPr>
          <w:rFonts w:ascii="Calibri" w:hAnsi="Calibri" w:cs="Times New Roman"/>
          <w:b/>
          <w:sz w:val="20"/>
          <w:szCs w:val="20"/>
        </w:rPr>
      </w:pPr>
      <w:r>
        <w:rPr>
          <w:rFonts w:cs="Times New Roman" w:ascii="Calibri" w:hAnsi="Calibri"/>
          <w:b/>
          <w:sz w:val="20"/>
          <w:szCs w:val="20"/>
        </w:rPr>
        <w:t>Účinnost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Tato obecně závazná vyhláška nabývá účinnosti </w:t>
      </w:r>
      <w:r>
        <w:rPr>
          <w:rFonts w:cs="Times New Roman" w:ascii="Calibri" w:hAnsi="Calibri"/>
          <w:sz w:val="20"/>
          <w:szCs w:val="20"/>
        </w:rPr>
        <w:t>dne 15. 6. 2024</w:t>
      </w:r>
      <w:r>
        <w:rPr>
          <w:rFonts w:ascii="Calibri" w:hAnsi="Calibri"/>
          <w:sz w:val="20"/>
          <w:szCs w:val="20"/>
        </w:rPr>
        <w:t>.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eastAsia="Tahoma" w:cs="Times New Roman"/>
          <w:sz w:val="20"/>
          <w:szCs w:val="20"/>
          <w:lang w:eastAsia="zxx" w:bidi="zxx"/>
        </w:rPr>
      </w:pPr>
      <w:r>
        <w:rPr>
          <w:rFonts w:eastAsia="Tahoma" w:cs="Times New Roman" w:ascii="Calibri" w:hAnsi="Calibri"/>
          <w:sz w:val="20"/>
          <w:szCs w:val="20"/>
          <w:lang w:eastAsia="zxx" w:bidi="zxx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ahoma" w:cs="Times New Roman" w:ascii="Calibri" w:hAnsi="Calibri"/>
          <w:sz w:val="20"/>
          <w:szCs w:val="20"/>
          <w:lang w:eastAsia="zxx" w:bidi="zxx"/>
        </w:rPr>
        <w:t>Ing. Lubor Jenček</w:t>
        <w:tab/>
        <w:tab/>
        <w:tab/>
        <w:t xml:space="preserve">         Petr Buchal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ahoma" w:cs="Times New Roman" w:ascii="Calibri" w:hAnsi="Calibri"/>
          <w:sz w:val="20"/>
          <w:szCs w:val="20"/>
          <w:lang w:eastAsia="zxx" w:bidi="zxx"/>
        </w:rPr>
        <w:t xml:space="preserve">      </w:t>
      </w:r>
      <w:r>
        <w:rPr>
          <w:rFonts w:eastAsia="Tahoma" w:cs="Times New Roman" w:ascii="Calibri" w:hAnsi="Calibri"/>
          <w:sz w:val="20"/>
          <w:szCs w:val="20"/>
          <w:lang w:eastAsia="zxx" w:bidi="zxx"/>
        </w:rPr>
        <w:t>starosta</w:t>
        <w:tab/>
        <w:tab/>
        <w:tab/>
        <w:t xml:space="preserve">       místostarosta</w:t>
      </w:r>
    </w:p>
    <w:p>
      <w:pPr>
        <w:sectPr>
          <w:footnotePr>
            <w:numFmt w:val="decimal"/>
          </w:footnotePr>
          <w:type w:val="continuous"/>
          <w:pgSz w:w="11906" w:h="16838"/>
          <w:pgMar w:left="1417" w:right="1417" w:gutter="0" w:header="0" w:top="1417" w:footer="567" w:bottom="1133"/>
          <w:cols w:num="2" w:space="56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footnotePr>
        <w:numFmt w:val="decimal"/>
      </w:footnotePr>
      <w:type w:val="continuous"/>
      <w:pgSz w:w="11906" w:h="16838"/>
      <w:pgMar w:left="1417" w:right="1417" w:gutter="0" w:header="0" w:top="1417" w:footer="567" w:bottom="1133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i/>
        <w:iCs/>
        <w:sz w:val="18"/>
        <w:szCs w:val="18"/>
      </w:rPr>
      <w:fldChar w:fldCharType="begin"/>
    </w:r>
    <w:r>
      <w:rPr>
        <w:sz w:val="18"/>
        <w:i/>
        <w:szCs w:val="18"/>
        <w:iCs/>
      </w:rPr>
      <w:instrText xml:space="preserve"> PAGE </w:instrText>
    </w:r>
    <w:r>
      <w:rPr>
        <w:sz w:val="18"/>
        <w:i/>
        <w:szCs w:val="18"/>
        <w:iCs/>
      </w:rPr>
      <w:fldChar w:fldCharType="separate"/>
    </w:r>
    <w:r>
      <w:rPr>
        <w:sz w:val="18"/>
        <w:i/>
        <w:szCs w:val="18"/>
        <w:iCs/>
      </w:rPr>
      <w:t>1</w:t>
    </w:r>
    <w:r>
      <w:rPr>
        <w:sz w:val="18"/>
        <w:i/>
        <w:szCs w:val="18"/>
        <w:iCs/>
      </w:rPr>
      <w:fldChar w:fldCharType="end"/>
    </w:r>
    <w:r>
      <w:rPr>
        <w:rFonts w:cs="Times New Roman" w:ascii="Times New Roman" w:hAnsi="Times New Roman"/>
        <w:i/>
        <w:iCs/>
        <w:sz w:val="18"/>
        <w:szCs w:val="18"/>
      </w:rPr>
      <w:t>/</w:t>
    </w:r>
    <w:r>
      <w:rPr>
        <w:i/>
        <w:iCs/>
        <w:sz w:val="18"/>
        <w:szCs w:val="18"/>
      </w:rPr>
      <w:fldChar w:fldCharType="begin"/>
    </w:r>
    <w:r>
      <w:rPr>
        <w:sz w:val="18"/>
        <w:i/>
        <w:szCs w:val="18"/>
        <w:iCs/>
      </w:rPr>
      <w:instrText xml:space="preserve"> NUMPAGES </w:instrText>
    </w:r>
    <w:r>
      <w:rPr>
        <w:sz w:val="18"/>
        <w:i/>
        <w:szCs w:val="18"/>
        <w:iCs/>
      </w:rPr>
      <w:fldChar w:fldCharType="separate"/>
    </w:r>
    <w:r>
      <w:rPr>
        <w:sz w:val="18"/>
        <w:i/>
        <w:szCs w:val="18"/>
        <w:iCs/>
      </w:rPr>
      <w:t>1</w:t>
    </w:r>
    <w:r>
      <w:rPr>
        <w:sz w:val="18"/>
        <w:i/>
        <w:szCs w:val="18"/>
        <w:iCs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/>
        <w:suppressLineNumbers/>
        <w:suppressAutoHyphens w:val="true"/>
        <w:bidi w:val="0"/>
        <w:spacing w:before="0" w:after="0"/>
        <w:ind w:hanging="170" w:start="170" w:end="0"/>
        <w:jc w:val="both"/>
        <w:rPr>
          <w:rFonts w:ascii="Times New Roman" w:hAnsi="Times New Roman"/>
          <w:sz w:val="18"/>
          <w:szCs w:val="18"/>
          <w:highlight w:val="none"/>
          <w:shd w:fill="auto" w:val="clear"/>
        </w:rPr>
      </w:pPr>
      <w:r>
        <w:rPr>
          <w:rStyle w:val="Znakypropoznmkupodarou"/>
        </w:rPr>
        <w:footnoteRef/>
      </w:r>
      <w:r>
        <w:rPr>
          <w:rFonts w:cs="Arial" w:ascii="Times New Roman" w:hAnsi="Times New Roman"/>
          <w:sz w:val="18"/>
          <w:szCs w:val="18"/>
          <w:shd w:fill="auto" w:val="clear"/>
        </w:rPr>
        <w:tab/>
        <w:t>§ 5 odst. 7 zákona č. 251/2016 Sb., o některých</w:t>
      </w:r>
    </w:p>
    <w:p>
      <w:pPr>
        <w:pStyle w:val="FootnoteText"/>
        <w:widowControl/>
        <w:suppressLineNumbers/>
        <w:suppressAutoHyphens w:val="true"/>
        <w:bidi w:val="0"/>
        <w:spacing w:before="0" w:after="0"/>
        <w:ind w:hanging="170" w:start="170" w:end="0"/>
        <w:jc w:val="both"/>
        <w:rPr>
          <w:rFonts w:ascii="Times New Roman" w:hAnsi="Times New Roman"/>
          <w:sz w:val="18"/>
          <w:szCs w:val="18"/>
          <w:highlight w:val="none"/>
          <w:shd w:fill="auto" w:val="clear"/>
        </w:rPr>
      </w:pPr>
      <w:r>
        <w:rPr>
          <w:rFonts w:cs="Arial" w:ascii="Times New Roman" w:hAnsi="Times New Roman"/>
          <w:sz w:val="18"/>
          <w:szCs w:val="18"/>
          <w:shd w:fill="auto" w:val="clear"/>
        </w:rPr>
        <w:t xml:space="preserve">    </w:t>
      </w:r>
      <w:r>
        <w:rPr>
          <w:rFonts w:cs="Arial" w:ascii="Times New Roman" w:hAnsi="Times New Roman"/>
          <w:sz w:val="18"/>
          <w:szCs w:val="18"/>
          <w:shd w:fill="auto" w:val="clear"/>
        </w:rPr>
        <w:t>přestupcích, ve znění pozdějších předpisů</w:t>
      </w:r>
    </w:p>
  </w:footnote>
</w:footnote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0"/>
    </w:rPr>
  </w:style>
  <w:style w:type="paragraph" w:styleId="BodyTextIndent">
    <w:name w:val="Body Text Indent"/>
    <w:basedOn w:val="Normal"/>
    <w:pPr>
      <w:ind w:firstLine="357" w:start="708" w:end="0"/>
      <w:jc w:val="both"/>
    </w:pPr>
    <w:rPr>
      <w:szCs w:val="20"/>
    </w:rPr>
  </w:style>
  <w:style w:type="paragraph" w:styleId="Hlava">
    <w:name w:val="Hlava"/>
    <w:basedOn w:val="Normal"/>
    <w:qFormat/>
    <w:pPr>
      <w:spacing w:before="240" w:after="0"/>
      <w:jc w:val="center"/>
    </w:pPr>
    <w:rPr/>
  </w:style>
  <w:style w:type="paragraph" w:styleId="Zkladntextodsazen31">
    <w:name w:val="Základní text odsazený 31"/>
    <w:basedOn w:val="Normal"/>
    <w:qFormat/>
    <w:pPr>
      <w:widowControl w:val="false"/>
      <w:tabs>
        <w:tab w:val="clear" w:pos="709"/>
        <w:tab w:val="left" w:pos="1080" w:leader="none"/>
      </w:tabs>
      <w:ind w:hanging="540" w:start="540" w:end="0"/>
      <w:jc w:val="both"/>
    </w:pPr>
    <w:rPr>
      <w:bCs/>
    </w:rPr>
  </w:style>
  <w:style w:type="paragraph" w:styleId="Zkladntextodsazen21">
    <w:name w:val="Základní text odsazený 21"/>
    <w:basedOn w:val="Normal"/>
    <w:qFormat/>
    <w:pPr>
      <w:ind w:firstLine="360" w:start="708" w:end="0"/>
      <w:jc w:val="both"/>
    </w:pPr>
    <w:rPr>
      <w:bCs/>
      <w:szCs w:val="20"/>
    </w:rPr>
  </w:style>
  <w:style w:type="paragraph" w:styleId="Odstavec1">
    <w:name w:val="odstavec 1"/>
    <w:basedOn w:val="Normal"/>
    <w:qFormat/>
    <w:pPr>
      <w:spacing w:before="120" w:after="0"/>
      <w:ind w:firstLine="567" w:start="0" w:end="0"/>
      <w:jc w:val="both"/>
    </w:pPr>
    <w:rPr/>
  </w:style>
  <w:style w:type="paragraph" w:styleId="Seznamoslovan">
    <w:name w:val="Seznam očíslovaný"/>
    <w:basedOn w:val="BodyText"/>
    <w:qFormat/>
    <w:pPr>
      <w:widowControl w:val="false"/>
      <w:spacing w:before="0" w:after="113"/>
      <w:ind w:hanging="424" w:start="425" w:end="0"/>
      <w:jc w:val="both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Sobotka_CoA_CZ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11926</TotalTime>
  <Application>LibreOffice/7.6.1.2$Windows_X86_64 LibreOffice_project/f5defcebd022c5bc36bbb79be232cb6926d8f674</Application>
  <AppVersion>15.0000</AppVersion>
  <Pages>1</Pages>
  <Words>345</Words>
  <Characters>1781</Characters>
  <CharactersWithSpaces>2129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2017-06-27T11:07:00Z</dcterms:created>
  <dc:creator>Jansová Hana</dc:creator>
  <dc:description/>
  <dc:language>cs-CZ</dc:language>
  <cp:lastModifiedBy/>
  <cp:lastPrinted>2024-05-16T12:50:03Z</cp:lastPrinted>
  <dcterms:modified xsi:type="dcterms:W3CDTF">2024-06-04T14:09:53Z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