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28" w:rsidRDefault="002C13E8" w:rsidP="00962628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1897380</wp:posOffset>
            </wp:positionH>
            <wp:positionV relativeFrom="paragraph">
              <wp:posOffset>-556260</wp:posOffset>
            </wp:positionV>
            <wp:extent cx="1969770" cy="1531620"/>
            <wp:effectExtent l="0" t="0" r="0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628">
        <w:t xml:space="preserve">    </w:t>
      </w:r>
    </w:p>
    <w:p w:rsidR="00962628" w:rsidRDefault="00962628" w:rsidP="00221359">
      <w:pPr>
        <w:pStyle w:val="Zhlav"/>
        <w:tabs>
          <w:tab w:val="clear" w:pos="4536"/>
          <w:tab w:val="clear" w:pos="9072"/>
        </w:tabs>
        <w:jc w:val="center"/>
      </w:pPr>
    </w:p>
    <w:p w:rsidR="00962628" w:rsidRDefault="00962628" w:rsidP="00221359">
      <w:pPr>
        <w:pStyle w:val="Zhlav"/>
        <w:tabs>
          <w:tab w:val="clear" w:pos="4536"/>
          <w:tab w:val="clear" w:pos="9072"/>
        </w:tabs>
        <w:jc w:val="center"/>
      </w:pPr>
    </w:p>
    <w:p w:rsidR="00962628" w:rsidRDefault="00962628" w:rsidP="00221359">
      <w:pPr>
        <w:pStyle w:val="Zhlav"/>
        <w:tabs>
          <w:tab w:val="clear" w:pos="4536"/>
          <w:tab w:val="clear" w:pos="9072"/>
        </w:tabs>
        <w:jc w:val="center"/>
      </w:pPr>
    </w:p>
    <w:p w:rsidR="00962628" w:rsidRDefault="00962628" w:rsidP="00962628">
      <w:pPr>
        <w:spacing w:line="276" w:lineRule="auto"/>
        <w:rPr>
          <w:rFonts w:ascii="Arial" w:hAnsi="Arial" w:cs="Arial"/>
          <w:b/>
        </w:rPr>
      </w:pPr>
    </w:p>
    <w:p w:rsidR="00905BA6" w:rsidRDefault="00905BA6" w:rsidP="00221359">
      <w:pPr>
        <w:spacing w:line="276" w:lineRule="auto"/>
        <w:jc w:val="center"/>
        <w:rPr>
          <w:rFonts w:ascii="Arial" w:hAnsi="Arial" w:cs="Arial"/>
          <w:b/>
        </w:rPr>
      </w:pPr>
    </w:p>
    <w:p w:rsidR="00905BA6" w:rsidRDefault="00905BA6" w:rsidP="00221359">
      <w:pPr>
        <w:spacing w:line="276" w:lineRule="auto"/>
        <w:jc w:val="center"/>
        <w:rPr>
          <w:rFonts w:ascii="Arial" w:hAnsi="Arial" w:cs="Arial"/>
          <w:b/>
        </w:rPr>
      </w:pPr>
    </w:p>
    <w:p w:rsidR="00905BA6" w:rsidRDefault="00905BA6" w:rsidP="00221359">
      <w:pPr>
        <w:spacing w:line="276" w:lineRule="auto"/>
        <w:jc w:val="center"/>
        <w:rPr>
          <w:rFonts w:ascii="Arial" w:hAnsi="Arial" w:cs="Arial"/>
          <w:b/>
        </w:rPr>
      </w:pPr>
    </w:p>
    <w:p w:rsidR="00962628" w:rsidRDefault="00962628" w:rsidP="00221359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               </w:t>
      </w:r>
    </w:p>
    <w:p w:rsidR="00850CCE" w:rsidRPr="009E0506" w:rsidRDefault="00221359" w:rsidP="00221359">
      <w:pPr>
        <w:spacing w:line="276" w:lineRule="auto"/>
        <w:jc w:val="center"/>
        <w:rPr>
          <w:rFonts w:ascii="Arial" w:hAnsi="Arial" w:cs="Arial"/>
          <w:b/>
          <w:color w:val="538135"/>
        </w:rPr>
      </w:pPr>
      <w:r w:rsidRPr="009E0506">
        <w:rPr>
          <w:rFonts w:ascii="Arial" w:hAnsi="Arial" w:cs="Arial"/>
          <w:b/>
          <w:color w:val="538135"/>
        </w:rPr>
        <w:t>Obec</w:t>
      </w:r>
      <w:r w:rsidR="00850CCE" w:rsidRPr="009E0506">
        <w:rPr>
          <w:rFonts w:ascii="Arial" w:hAnsi="Arial" w:cs="Arial"/>
          <w:b/>
          <w:color w:val="538135"/>
        </w:rPr>
        <w:t xml:space="preserve"> </w:t>
      </w:r>
      <w:r w:rsidR="00962628" w:rsidRPr="009E0506">
        <w:rPr>
          <w:rFonts w:ascii="Arial" w:hAnsi="Arial" w:cs="Arial"/>
          <w:b/>
          <w:color w:val="538135"/>
        </w:rPr>
        <w:t>Hlubyně</w:t>
      </w:r>
    </w:p>
    <w:p w:rsidR="00850CCE" w:rsidRPr="009E0506" w:rsidRDefault="00850CCE" w:rsidP="00962628">
      <w:pPr>
        <w:spacing w:line="276" w:lineRule="auto"/>
        <w:jc w:val="center"/>
        <w:rPr>
          <w:rFonts w:ascii="Arial" w:hAnsi="Arial" w:cs="Arial"/>
          <w:b/>
          <w:color w:val="538135"/>
        </w:rPr>
      </w:pPr>
      <w:r w:rsidRPr="009E0506">
        <w:rPr>
          <w:rFonts w:ascii="Arial" w:hAnsi="Arial" w:cs="Arial"/>
          <w:b/>
          <w:color w:val="538135"/>
        </w:rPr>
        <w:t xml:space="preserve">Zastupitelstvo obce </w:t>
      </w:r>
      <w:r w:rsidR="00962628" w:rsidRPr="009E0506">
        <w:rPr>
          <w:rFonts w:ascii="Arial" w:hAnsi="Arial" w:cs="Arial"/>
          <w:b/>
          <w:color w:val="538135"/>
        </w:rPr>
        <w:t>Hlubyně</w:t>
      </w:r>
    </w:p>
    <w:p w:rsidR="00850CCE" w:rsidRPr="009E0506" w:rsidRDefault="00850CCE" w:rsidP="00221359">
      <w:pPr>
        <w:spacing w:line="276" w:lineRule="auto"/>
        <w:jc w:val="center"/>
        <w:rPr>
          <w:rFonts w:ascii="Arial" w:hAnsi="Arial" w:cs="Arial"/>
          <w:b/>
          <w:color w:val="538135"/>
        </w:rPr>
      </w:pPr>
      <w:r w:rsidRPr="009E0506">
        <w:rPr>
          <w:rFonts w:ascii="Arial" w:hAnsi="Arial" w:cs="Arial"/>
          <w:b/>
          <w:color w:val="538135"/>
        </w:rPr>
        <w:t xml:space="preserve">Obecně závazná vyhláška obce </w:t>
      </w:r>
      <w:r w:rsidR="00874B49">
        <w:rPr>
          <w:rFonts w:ascii="Arial" w:hAnsi="Arial" w:cs="Arial"/>
          <w:b/>
          <w:color w:val="538135"/>
        </w:rPr>
        <w:t xml:space="preserve">Hlubyně </w:t>
      </w:r>
    </w:p>
    <w:p w:rsidR="008F0DA9" w:rsidRPr="009E0506" w:rsidRDefault="008F0DA9" w:rsidP="00221359">
      <w:pPr>
        <w:spacing w:line="276" w:lineRule="auto"/>
        <w:jc w:val="center"/>
        <w:rPr>
          <w:rFonts w:ascii="Arial" w:hAnsi="Arial" w:cs="Arial"/>
          <w:b/>
          <w:color w:val="538135"/>
        </w:rPr>
      </w:pPr>
      <w:r w:rsidRPr="009E0506">
        <w:rPr>
          <w:rFonts w:ascii="Arial" w:hAnsi="Arial" w:cs="Arial"/>
          <w:b/>
          <w:color w:val="538135"/>
        </w:rPr>
        <w:t>o místním poplatku ze psů</w:t>
      </w:r>
    </w:p>
    <w:p w:rsidR="00850CCE" w:rsidRPr="00686CC9" w:rsidRDefault="00850CCE" w:rsidP="00221359">
      <w:pPr>
        <w:spacing w:line="276" w:lineRule="auto"/>
        <w:rPr>
          <w:rFonts w:ascii="Arial" w:hAnsi="Arial" w:cs="Arial"/>
          <w:b/>
        </w:rPr>
      </w:pPr>
    </w:p>
    <w:p w:rsidR="00340FD0" w:rsidRDefault="00850CCE" w:rsidP="00221359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910207">
        <w:rPr>
          <w:rFonts w:ascii="Arial" w:hAnsi="Arial" w:cs="Arial"/>
          <w:sz w:val="22"/>
          <w:szCs w:val="22"/>
        </w:rPr>
        <w:t xml:space="preserve"> Hlubyně</w:t>
      </w:r>
      <w:r w:rsidR="0022135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93F98" w:rsidRPr="002B668D">
        <w:rPr>
          <w:rFonts w:ascii="Arial" w:hAnsi="Arial" w:cs="Arial"/>
          <w:sz w:val="22"/>
          <w:szCs w:val="22"/>
        </w:rPr>
        <w:t>se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na svém zasedání dne</w:t>
      </w:r>
      <w:r w:rsidR="00962628">
        <w:rPr>
          <w:rFonts w:ascii="Arial" w:hAnsi="Arial" w:cs="Arial"/>
          <w:sz w:val="22"/>
          <w:szCs w:val="22"/>
        </w:rPr>
        <w:t xml:space="preserve"> </w:t>
      </w:r>
      <w:r w:rsidR="009A20C4">
        <w:rPr>
          <w:rFonts w:ascii="Arial" w:hAnsi="Arial" w:cs="Arial"/>
          <w:sz w:val="22"/>
          <w:szCs w:val="22"/>
        </w:rPr>
        <w:t xml:space="preserve"> </w:t>
      </w:r>
      <w:r w:rsidR="00874B49">
        <w:rPr>
          <w:rFonts w:ascii="Arial" w:hAnsi="Arial" w:cs="Arial"/>
          <w:sz w:val="22"/>
          <w:szCs w:val="22"/>
        </w:rPr>
        <w:t>4</w:t>
      </w:r>
      <w:r w:rsidR="00962628">
        <w:rPr>
          <w:rFonts w:ascii="Arial" w:hAnsi="Arial" w:cs="Arial"/>
          <w:sz w:val="22"/>
          <w:szCs w:val="22"/>
        </w:rPr>
        <w:t>.</w:t>
      </w:r>
      <w:r w:rsidR="00874B49">
        <w:rPr>
          <w:rFonts w:ascii="Arial" w:hAnsi="Arial" w:cs="Arial"/>
          <w:sz w:val="22"/>
          <w:szCs w:val="22"/>
        </w:rPr>
        <w:t xml:space="preserve">4. </w:t>
      </w:r>
      <w:r w:rsidR="00962628">
        <w:rPr>
          <w:rFonts w:ascii="Arial" w:hAnsi="Arial" w:cs="Arial"/>
          <w:sz w:val="22"/>
          <w:szCs w:val="22"/>
        </w:rPr>
        <w:t>202</w:t>
      </w:r>
      <w:r w:rsidR="00FF2DE2">
        <w:rPr>
          <w:rFonts w:ascii="Arial" w:hAnsi="Arial" w:cs="Arial"/>
          <w:sz w:val="22"/>
          <w:szCs w:val="22"/>
        </w:rPr>
        <w:t>5</w:t>
      </w:r>
      <w:r w:rsidR="00340FD0">
        <w:rPr>
          <w:rFonts w:ascii="Arial" w:hAnsi="Arial" w:cs="Arial"/>
          <w:sz w:val="22"/>
          <w:szCs w:val="22"/>
        </w:rPr>
        <w:t xml:space="preserve"> </w:t>
      </w:r>
      <w:r w:rsidR="008979C1">
        <w:rPr>
          <w:rFonts w:ascii="Arial" w:hAnsi="Arial" w:cs="Arial"/>
          <w:sz w:val="22"/>
          <w:szCs w:val="22"/>
        </w:rPr>
        <w:t>pod bodem usnesení</w:t>
      </w:r>
    </w:p>
    <w:p w:rsidR="00893F98" w:rsidRPr="0001228D" w:rsidRDefault="00893F98" w:rsidP="00221359">
      <w:pPr>
        <w:spacing w:line="288" w:lineRule="auto"/>
        <w:rPr>
          <w:rFonts w:ascii="Arial" w:hAnsi="Arial" w:cs="Arial"/>
          <w:sz w:val="22"/>
          <w:szCs w:val="22"/>
        </w:rPr>
      </w:pPr>
      <w:r w:rsidRPr="002B668D">
        <w:rPr>
          <w:rFonts w:ascii="Arial" w:hAnsi="Arial" w:cs="Arial"/>
          <w:sz w:val="22"/>
          <w:szCs w:val="22"/>
        </w:rPr>
        <w:t xml:space="preserve">č. </w:t>
      </w:r>
      <w:r w:rsidR="00FF2DE2">
        <w:rPr>
          <w:rFonts w:ascii="Arial" w:hAnsi="Arial" w:cs="Arial"/>
          <w:sz w:val="22"/>
          <w:szCs w:val="22"/>
        </w:rPr>
        <w:t>2</w:t>
      </w:r>
      <w:r w:rsidR="00874B49">
        <w:rPr>
          <w:rFonts w:ascii="Arial" w:hAnsi="Arial" w:cs="Arial"/>
          <w:sz w:val="22"/>
          <w:szCs w:val="22"/>
        </w:rPr>
        <w:t>/2025</w:t>
      </w:r>
      <w:r w:rsidR="00340FD0"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50CCE" w:rsidRPr="0001228D">
        <w:rPr>
          <w:rFonts w:ascii="Arial" w:hAnsi="Arial" w:cs="Arial"/>
          <w:sz w:val="22"/>
          <w:szCs w:val="22"/>
        </w:rPr>
        <w:t>,</w:t>
      </w:r>
      <w:r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221359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221359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221359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62628">
        <w:rPr>
          <w:rFonts w:ascii="Arial" w:hAnsi="Arial" w:cs="Arial"/>
          <w:sz w:val="22"/>
          <w:szCs w:val="22"/>
        </w:rPr>
        <w:t>Hlubyně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221359">
      <w:pPr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962628">
        <w:rPr>
          <w:rFonts w:ascii="Arial" w:hAnsi="Arial" w:cs="Arial"/>
          <w:sz w:val="22"/>
          <w:szCs w:val="22"/>
        </w:rPr>
        <w:t>Hlubyně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221359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22135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221359">
      <w:pPr>
        <w:numPr>
          <w:ilvl w:val="0"/>
          <w:numId w:val="5"/>
        </w:numPr>
        <w:spacing w:line="288" w:lineRule="auto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221359">
      <w:pPr>
        <w:numPr>
          <w:ilvl w:val="0"/>
          <w:numId w:val="5"/>
        </w:numPr>
        <w:spacing w:line="288" w:lineRule="auto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22135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221359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221359">
      <w:pPr>
        <w:numPr>
          <w:ilvl w:val="0"/>
          <w:numId w:val="3"/>
        </w:num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221359">
        <w:rPr>
          <w:rFonts w:ascii="Arial" w:hAnsi="Arial" w:cs="Arial"/>
          <w:sz w:val="22"/>
          <w:szCs w:val="22"/>
        </w:rPr>
        <w:t xml:space="preserve"> poplatkové povinnosti do 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221359">
        <w:rPr>
          <w:rFonts w:ascii="Arial" w:hAnsi="Arial" w:cs="Arial"/>
          <w:sz w:val="22"/>
          <w:szCs w:val="22"/>
        </w:rPr>
        <w:t>30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221359">
      <w:pPr>
        <w:numPr>
          <w:ilvl w:val="0"/>
          <w:numId w:val="3"/>
        </w:numPr>
        <w:spacing w:before="120" w:line="288" w:lineRule="auto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221359">
      <w:pPr>
        <w:numPr>
          <w:ilvl w:val="0"/>
          <w:numId w:val="3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962628" w:rsidRDefault="00893F98" w:rsidP="00221359">
      <w:pPr>
        <w:numPr>
          <w:ilvl w:val="1"/>
          <w:numId w:val="3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962628">
      <w:pPr>
        <w:spacing w:before="120" w:line="288" w:lineRule="auto"/>
        <w:ind w:left="1021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pro doručování; právnická osoba uvede též osoby, které jsou jejím jménem oprávněny jednat v poplatkových věcech,</w:t>
      </w:r>
    </w:p>
    <w:p w:rsidR="00893F98" w:rsidRPr="0001228D" w:rsidRDefault="00893F98" w:rsidP="00221359">
      <w:pPr>
        <w:numPr>
          <w:ilvl w:val="1"/>
          <w:numId w:val="3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221359">
      <w:pPr>
        <w:numPr>
          <w:ilvl w:val="1"/>
          <w:numId w:val="3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221359">
      <w:pPr>
        <w:numPr>
          <w:ilvl w:val="0"/>
          <w:numId w:val="3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221359">
        <w:rPr>
          <w:rFonts w:ascii="Arial" w:hAnsi="Arial" w:cs="Arial"/>
          <w:sz w:val="22"/>
          <w:szCs w:val="22"/>
        </w:rPr>
        <w:t>povinen tuto změnu oznámit do 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221359">
      <w:pPr>
        <w:numPr>
          <w:ilvl w:val="0"/>
          <w:numId w:val="3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221359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221359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221359">
      <w:pPr>
        <w:spacing w:line="288" w:lineRule="auto"/>
        <w:ind w:left="567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221359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221359">
        <w:rPr>
          <w:rFonts w:ascii="Arial" w:hAnsi="Arial" w:cs="Arial"/>
          <w:sz w:val="22"/>
          <w:szCs w:val="22"/>
        </w:rPr>
        <w:tab/>
      </w:r>
      <w:r w:rsidR="00221359">
        <w:rPr>
          <w:rFonts w:ascii="Arial" w:hAnsi="Arial" w:cs="Arial"/>
          <w:sz w:val="22"/>
          <w:szCs w:val="22"/>
        </w:rPr>
        <w:tab/>
      </w:r>
      <w:r w:rsidR="00221359">
        <w:rPr>
          <w:rFonts w:ascii="Arial" w:hAnsi="Arial" w:cs="Arial"/>
          <w:sz w:val="22"/>
          <w:szCs w:val="22"/>
        </w:rPr>
        <w:tab/>
      </w:r>
      <w:r w:rsidR="00221359">
        <w:rPr>
          <w:rFonts w:ascii="Arial" w:hAnsi="Arial" w:cs="Arial"/>
          <w:sz w:val="22"/>
          <w:szCs w:val="22"/>
        </w:rPr>
        <w:tab/>
      </w:r>
      <w:r w:rsidR="00221359">
        <w:rPr>
          <w:rFonts w:ascii="Arial" w:hAnsi="Arial" w:cs="Arial"/>
          <w:sz w:val="22"/>
          <w:szCs w:val="22"/>
        </w:rPr>
        <w:tab/>
      </w:r>
      <w:r w:rsidR="00221359">
        <w:rPr>
          <w:rFonts w:ascii="Arial" w:hAnsi="Arial" w:cs="Arial"/>
          <w:sz w:val="22"/>
          <w:szCs w:val="22"/>
        </w:rPr>
        <w:tab/>
        <w:t xml:space="preserve">50 </w:t>
      </w:r>
      <w:r w:rsidRPr="0080616A">
        <w:rPr>
          <w:rFonts w:ascii="Arial" w:hAnsi="Arial" w:cs="Arial"/>
          <w:sz w:val="22"/>
          <w:szCs w:val="22"/>
        </w:rPr>
        <w:t>Kč,</w:t>
      </w:r>
    </w:p>
    <w:p w:rsidR="00893F98" w:rsidRDefault="00893F98" w:rsidP="00221359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</w:t>
      </w:r>
      <w:r w:rsidR="00E64247">
        <w:rPr>
          <w:rFonts w:ascii="Arial" w:hAnsi="Arial" w:cs="Arial"/>
          <w:sz w:val="22"/>
          <w:szCs w:val="22"/>
        </w:rPr>
        <w:tab/>
      </w:r>
      <w:r w:rsidR="00E64247">
        <w:rPr>
          <w:rFonts w:ascii="Arial" w:hAnsi="Arial" w:cs="Arial"/>
          <w:sz w:val="22"/>
          <w:szCs w:val="22"/>
        </w:rPr>
        <w:tab/>
        <w:t>150</w:t>
      </w:r>
      <w:r w:rsidR="00221359">
        <w:rPr>
          <w:rFonts w:ascii="Arial" w:hAnsi="Arial" w:cs="Arial"/>
          <w:sz w:val="22"/>
          <w:szCs w:val="22"/>
        </w:rPr>
        <w:t xml:space="preserve"> Kč</w:t>
      </w:r>
    </w:p>
    <w:p w:rsidR="00A824DD" w:rsidRDefault="00A824DD" w:rsidP="00A824DD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A824DD" w:rsidRDefault="00A824DD" w:rsidP="00A824DD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>
        <w:rPr>
          <w:rFonts w:ascii="Arial" w:hAnsi="Arial" w:cs="Arial"/>
          <w:sz w:val="22"/>
          <w:szCs w:val="22"/>
        </w:rPr>
        <w:t xml:space="preserve"> kterým je osoba starší 65 let</w:t>
      </w:r>
    </w:p>
    <w:p w:rsidR="00A824DD" w:rsidRDefault="00A824DD" w:rsidP="00A824DD">
      <w:pPr>
        <w:numPr>
          <w:ilvl w:val="0"/>
          <w:numId w:val="1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:rsidR="00A824DD" w:rsidRPr="004035A7" w:rsidRDefault="00A824DD" w:rsidP="00A824DD">
      <w:pPr>
        <w:spacing w:line="288" w:lineRule="auto"/>
        <w:ind w:left="567"/>
        <w:rPr>
          <w:rFonts w:ascii="Arial" w:hAnsi="Arial" w:cs="Arial"/>
          <w:sz w:val="22"/>
          <w:szCs w:val="22"/>
        </w:rPr>
      </w:pPr>
    </w:p>
    <w:p w:rsidR="008D0936" w:rsidRPr="004035A7" w:rsidRDefault="00FF32F5" w:rsidP="0022135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8D0936" w:rsidRDefault="008D0936" w:rsidP="00221359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</w:p>
    <w:p w:rsidR="008D0936" w:rsidRDefault="008D0936" w:rsidP="00221359">
      <w:pPr>
        <w:numPr>
          <w:ilvl w:val="0"/>
          <w:numId w:val="8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221359">
        <w:rPr>
          <w:rFonts w:ascii="Arial" w:hAnsi="Arial" w:cs="Arial"/>
          <w:sz w:val="22"/>
          <w:szCs w:val="22"/>
        </w:rPr>
        <w:t xml:space="preserve">do 31. března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:rsidR="008D0936" w:rsidRPr="00A3719A" w:rsidRDefault="008D0936" w:rsidP="00221359">
      <w:pPr>
        <w:numPr>
          <w:ilvl w:val="0"/>
          <w:numId w:val="8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221359">
        <w:rPr>
          <w:rFonts w:ascii="Arial" w:hAnsi="Arial" w:cs="Arial"/>
          <w:sz w:val="22"/>
          <w:szCs w:val="22"/>
        </w:rPr>
        <w:t>.</w:t>
      </w:r>
    </w:p>
    <w:p w:rsidR="008D0936" w:rsidRDefault="008D0936" w:rsidP="00221359">
      <w:pPr>
        <w:spacing w:before="120" w:line="288" w:lineRule="auto"/>
        <w:ind w:firstLine="708"/>
        <w:rPr>
          <w:rFonts w:ascii="Arial" w:hAnsi="Arial" w:cs="Arial"/>
          <w:sz w:val="22"/>
          <w:szCs w:val="22"/>
        </w:rPr>
      </w:pPr>
    </w:p>
    <w:p w:rsidR="00221359" w:rsidRDefault="00221359" w:rsidP="00221359">
      <w:pPr>
        <w:spacing w:before="120" w:line="288" w:lineRule="auto"/>
        <w:ind w:firstLine="708"/>
        <w:rPr>
          <w:rFonts w:ascii="Arial" w:hAnsi="Arial" w:cs="Arial"/>
          <w:sz w:val="22"/>
          <w:szCs w:val="22"/>
        </w:rPr>
      </w:pPr>
    </w:p>
    <w:p w:rsidR="00893F98" w:rsidRPr="004035A7" w:rsidRDefault="00FF32F5" w:rsidP="0022135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:rsidR="00893F98" w:rsidRPr="004035A7" w:rsidRDefault="00241A08" w:rsidP="0022135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893F98" w:rsidRPr="005052D1" w:rsidRDefault="00893F98" w:rsidP="00221359">
      <w:pPr>
        <w:numPr>
          <w:ilvl w:val="0"/>
          <w:numId w:val="4"/>
        </w:numPr>
        <w:spacing w:line="288" w:lineRule="auto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7D087D" w:rsidRDefault="007D087D" w:rsidP="00221359">
      <w:pPr>
        <w:tabs>
          <w:tab w:val="left" w:pos="3780"/>
        </w:tabs>
        <w:spacing w:line="264" w:lineRule="auto"/>
        <w:ind w:left="567"/>
        <w:rPr>
          <w:rFonts w:ascii="Arial" w:hAnsi="Arial" w:cs="Arial"/>
          <w:i/>
          <w:color w:val="0070C0"/>
          <w:sz w:val="20"/>
          <w:szCs w:val="20"/>
        </w:rPr>
      </w:pPr>
    </w:p>
    <w:p w:rsidR="00221359" w:rsidRDefault="00221359" w:rsidP="00221359">
      <w:pPr>
        <w:tabs>
          <w:tab w:val="left" w:pos="3780"/>
        </w:tabs>
        <w:spacing w:line="264" w:lineRule="auto"/>
        <w:ind w:left="567"/>
        <w:rPr>
          <w:rFonts w:ascii="Arial" w:hAnsi="Arial" w:cs="Arial"/>
          <w:i/>
          <w:color w:val="0070C0"/>
          <w:sz w:val="20"/>
          <w:szCs w:val="20"/>
        </w:rPr>
      </w:pPr>
    </w:p>
    <w:p w:rsidR="007D087D" w:rsidRDefault="007D087D" w:rsidP="00221359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 w:rsidR="00221359">
        <w:rPr>
          <w:rFonts w:ascii="Arial" w:hAnsi="Arial" w:cs="Arial"/>
          <w:sz w:val="22"/>
          <w:szCs w:val="22"/>
        </w:rPr>
        <w:t xml:space="preserve">zhodný pro osvobození </w:t>
      </w:r>
      <w:r w:rsidRPr="005B47E4">
        <w:rPr>
          <w:rFonts w:ascii="Arial" w:hAnsi="Arial" w:cs="Arial"/>
          <w:sz w:val="22"/>
          <w:szCs w:val="22"/>
        </w:rPr>
        <w:t xml:space="preserve">dle odst. </w:t>
      </w:r>
      <w:r w:rsidR="0022135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>ohoto článku je poplatník</w:t>
      </w:r>
      <w:r w:rsidR="00221359">
        <w:rPr>
          <w:rFonts w:ascii="Arial" w:hAnsi="Arial" w:cs="Arial"/>
          <w:sz w:val="22"/>
          <w:szCs w:val="22"/>
        </w:rPr>
        <w:t xml:space="preserve"> povinen ohlásit ve lhůtě do 30 </w:t>
      </w:r>
      <w:r w:rsidR="002B3C2F">
        <w:rPr>
          <w:rFonts w:ascii="Arial" w:hAnsi="Arial" w:cs="Arial"/>
          <w:sz w:val="22"/>
          <w:szCs w:val="22"/>
        </w:rPr>
        <w:t>dnů od skutečnosti zakládajíc</w:t>
      </w:r>
      <w:r w:rsidR="00241A08">
        <w:rPr>
          <w:rFonts w:ascii="Arial" w:hAnsi="Arial" w:cs="Arial"/>
          <w:sz w:val="22"/>
          <w:szCs w:val="22"/>
        </w:rPr>
        <w:t>í nárok na osvobození</w:t>
      </w:r>
      <w:r w:rsidR="002B3C2F">
        <w:rPr>
          <w:rFonts w:ascii="Arial" w:hAnsi="Arial" w:cs="Arial"/>
          <w:sz w:val="22"/>
          <w:szCs w:val="22"/>
        </w:rPr>
        <w:t>.</w:t>
      </w:r>
    </w:p>
    <w:p w:rsidR="007D087D" w:rsidRDefault="007D087D" w:rsidP="00221359">
      <w:pPr>
        <w:ind w:left="567"/>
        <w:rPr>
          <w:rFonts w:ascii="Arial" w:hAnsi="Arial" w:cs="Arial"/>
          <w:sz w:val="22"/>
          <w:szCs w:val="22"/>
        </w:rPr>
      </w:pPr>
    </w:p>
    <w:p w:rsidR="007D087D" w:rsidRPr="005B47E4" w:rsidRDefault="007D087D" w:rsidP="00221359">
      <w:pPr>
        <w:ind w:left="567"/>
        <w:rPr>
          <w:rFonts w:ascii="Arial" w:hAnsi="Arial" w:cs="Arial"/>
          <w:sz w:val="22"/>
          <w:szCs w:val="22"/>
        </w:rPr>
      </w:pPr>
    </w:p>
    <w:p w:rsidR="007D087D" w:rsidRDefault="007D087D" w:rsidP="00221359">
      <w:pPr>
        <w:spacing w:before="120" w:line="264" w:lineRule="auto"/>
        <w:ind w:left="567" w:hanging="567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5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</w:t>
      </w:r>
      <w:r w:rsidR="001229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7D087D" w:rsidRDefault="007D087D" w:rsidP="00221359">
      <w:pPr>
        <w:tabs>
          <w:tab w:val="left" w:pos="3780"/>
        </w:tabs>
        <w:spacing w:line="264" w:lineRule="auto"/>
        <w:ind w:left="567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93F98" w:rsidRPr="00F0789D" w:rsidRDefault="00893F98" w:rsidP="00122984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12298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</w:p>
    <w:p w:rsidR="00893F98" w:rsidRPr="00A04C8B" w:rsidRDefault="00893F98" w:rsidP="00221359">
      <w:pPr>
        <w:numPr>
          <w:ilvl w:val="0"/>
          <w:numId w:val="7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221359">
      <w:pPr>
        <w:numPr>
          <w:ilvl w:val="0"/>
          <w:numId w:val="7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12298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12298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221359">
      <w:pPr>
        <w:numPr>
          <w:ilvl w:val="0"/>
          <w:numId w:val="12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221359">
      <w:pPr>
        <w:numPr>
          <w:ilvl w:val="0"/>
          <w:numId w:val="12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221359">
      <w:pPr>
        <w:numPr>
          <w:ilvl w:val="0"/>
          <w:numId w:val="12"/>
        </w:numPr>
        <w:spacing w:before="120" w:line="264" w:lineRule="auto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122984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122984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221359">
      <w:pPr>
        <w:numPr>
          <w:ilvl w:val="0"/>
          <w:numId w:val="13"/>
        </w:numPr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893F98" w:rsidRPr="00DF5857" w:rsidRDefault="00893F98" w:rsidP="00122984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12298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Pr="008D18AB" w:rsidRDefault="008D18AB" w:rsidP="00221359">
      <w:pPr>
        <w:pStyle w:val="Nzvylnk"/>
        <w:jc w:val="left"/>
        <w:rPr>
          <w:rFonts w:ascii="Arial" w:hAnsi="Arial" w:cs="Arial"/>
          <w:color w:val="0070C0"/>
        </w:rPr>
      </w:pPr>
    </w:p>
    <w:p w:rsidR="008D18AB" w:rsidRDefault="00F40CFA" w:rsidP="00221359">
      <w:pPr>
        <w:spacing w:before="120" w:line="288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15 dne následujícího po dni jejího vyhlášení.</w:t>
      </w:r>
    </w:p>
    <w:p w:rsidR="008D18AB" w:rsidRDefault="008D18AB" w:rsidP="0022135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2B51B3" w:rsidRDefault="002B51B3" w:rsidP="00221359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221359">
      <w:pPr>
        <w:spacing w:before="120" w:line="288" w:lineRule="auto"/>
        <w:ind w:firstLine="708"/>
        <w:rPr>
          <w:rFonts w:ascii="Arial" w:hAnsi="Arial" w:cs="Arial"/>
          <w:sz w:val="22"/>
          <w:szCs w:val="22"/>
        </w:rPr>
      </w:pPr>
    </w:p>
    <w:p w:rsidR="00893F98" w:rsidRDefault="00893F98" w:rsidP="0022135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122984"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22135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962628" w:rsidP="0022135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Ing. Josef </w:t>
      </w:r>
      <w:proofErr w:type="gramStart"/>
      <w:r>
        <w:rPr>
          <w:rFonts w:ascii="Arial" w:hAnsi="Arial" w:cs="Arial"/>
          <w:sz w:val="22"/>
          <w:szCs w:val="22"/>
        </w:rPr>
        <w:t>Drnek                                                                      Petr</w:t>
      </w:r>
      <w:proofErr w:type="gramEnd"/>
      <w:r>
        <w:rPr>
          <w:rFonts w:ascii="Arial" w:hAnsi="Arial" w:cs="Arial"/>
          <w:sz w:val="22"/>
          <w:szCs w:val="22"/>
        </w:rPr>
        <w:t xml:space="preserve"> Boukal</w:t>
      </w:r>
    </w:p>
    <w:p w:rsidR="00893F98" w:rsidRDefault="00893F98" w:rsidP="0022135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122984" w:rsidRDefault="00122984" w:rsidP="0022135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122984" w:rsidRDefault="00122984" w:rsidP="0022135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122984" w:rsidRDefault="00122984" w:rsidP="0022135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824DD" w:rsidRDefault="00A824DD" w:rsidP="0022135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9008FA" w:rsidRDefault="009008FA" w:rsidP="0022135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08FA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E2E" w:rsidRDefault="00401E2E">
      <w:r>
        <w:separator/>
      </w:r>
    </w:p>
  </w:endnote>
  <w:endnote w:type="continuationSeparator" w:id="0">
    <w:p w:rsidR="00401E2E" w:rsidRDefault="0040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4DD" w:rsidRDefault="00A824D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5BA6">
      <w:rPr>
        <w:noProof/>
      </w:rPr>
      <w:t>1</w:t>
    </w:r>
    <w:r>
      <w:fldChar w:fldCharType="end"/>
    </w:r>
  </w:p>
  <w:p w:rsidR="00A824DD" w:rsidRDefault="00A824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E2E" w:rsidRDefault="00401E2E">
      <w:r>
        <w:separator/>
      </w:r>
    </w:p>
  </w:footnote>
  <w:footnote w:type="continuationSeparator" w:id="0">
    <w:p w:rsidR="00401E2E" w:rsidRDefault="00401E2E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5D16C00"/>
    <w:multiLevelType w:val="hybridMultilevel"/>
    <w:tmpl w:val="EFB4862C"/>
    <w:lvl w:ilvl="0" w:tplc="D14CCA28">
      <w:start w:val="100"/>
      <w:numFmt w:val="decimal"/>
      <w:lvlText w:val="%1"/>
      <w:lvlJc w:val="left"/>
      <w:pPr>
        <w:ind w:left="1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2"/>
  </w:num>
  <w:num w:numId="5">
    <w:abstractNumId w:val="13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  <w:num w:numId="12">
    <w:abstractNumId w:val="3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22984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21359"/>
    <w:rsid w:val="002223EB"/>
    <w:rsid w:val="00237FD0"/>
    <w:rsid w:val="00241A08"/>
    <w:rsid w:val="0025437E"/>
    <w:rsid w:val="002824A7"/>
    <w:rsid w:val="002B3C2F"/>
    <w:rsid w:val="002B51B3"/>
    <w:rsid w:val="002B7506"/>
    <w:rsid w:val="002C13E8"/>
    <w:rsid w:val="002D2A22"/>
    <w:rsid w:val="002E76A6"/>
    <w:rsid w:val="002F3690"/>
    <w:rsid w:val="002F5A1E"/>
    <w:rsid w:val="002F7437"/>
    <w:rsid w:val="0030760D"/>
    <w:rsid w:val="003150FC"/>
    <w:rsid w:val="00323FA0"/>
    <w:rsid w:val="00326773"/>
    <w:rsid w:val="00340FD0"/>
    <w:rsid w:val="00364828"/>
    <w:rsid w:val="003729C0"/>
    <w:rsid w:val="0038221A"/>
    <w:rsid w:val="003C1B30"/>
    <w:rsid w:val="003E405C"/>
    <w:rsid w:val="003F4FD0"/>
    <w:rsid w:val="00401E2E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66E87"/>
    <w:rsid w:val="00691BE6"/>
    <w:rsid w:val="006C0C98"/>
    <w:rsid w:val="006C665E"/>
    <w:rsid w:val="006C7F1C"/>
    <w:rsid w:val="006D0FF2"/>
    <w:rsid w:val="006D2398"/>
    <w:rsid w:val="006E461F"/>
    <w:rsid w:val="00703C49"/>
    <w:rsid w:val="00715335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02A"/>
    <w:rsid w:val="00830FD6"/>
    <w:rsid w:val="00833C29"/>
    <w:rsid w:val="00850397"/>
    <w:rsid w:val="00850CCE"/>
    <w:rsid w:val="008529BA"/>
    <w:rsid w:val="008610F1"/>
    <w:rsid w:val="00864182"/>
    <w:rsid w:val="0086692E"/>
    <w:rsid w:val="00874B49"/>
    <w:rsid w:val="00881D41"/>
    <w:rsid w:val="00881F45"/>
    <w:rsid w:val="00885180"/>
    <w:rsid w:val="00887F1C"/>
    <w:rsid w:val="00893668"/>
    <w:rsid w:val="00893F98"/>
    <w:rsid w:val="00895C29"/>
    <w:rsid w:val="008979C1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5BA6"/>
    <w:rsid w:val="00907411"/>
    <w:rsid w:val="00910207"/>
    <w:rsid w:val="00911701"/>
    <w:rsid w:val="00921A5A"/>
    <w:rsid w:val="009377C6"/>
    <w:rsid w:val="00942E81"/>
    <w:rsid w:val="009508FA"/>
    <w:rsid w:val="00962628"/>
    <w:rsid w:val="00967DE6"/>
    <w:rsid w:val="009918B5"/>
    <w:rsid w:val="009A20C4"/>
    <w:rsid w:val="009C54E0"/>
    <w:rsid w:val="009D3C84"/>
    <w:rsid w:val="009D7068"/>
    <w:rsid w:val="009D7DBA"/>
    <w:rsid w:val="009E0506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24DD"/>
    <w:rsid w:val="00A8365F"/>
    <w:rsid w:val="00A847F8"/>
    <w:rsid w:val="00AC4F2C"/>
    <w:rsid w:val="00B13395"/>
    <w:rsid w:val="00B206A7"/>
    <w:rsid w:val="00B27732"/>
    <w:rsid w:val="00B4064C"/>
    <w:rsid w:val="00B50D1A"/>
    <w:rsid w:val="00B66DAF"/>
    <w:rsid w:val="00B670A9"/>
    <w:rsid w:val="00B84BBA"/>
    <w:rsid w:val="00B86811"/>
    <w:rsid w:val="00BA0CDA"/>
    <w:rsid w:val="00BD6166"/>
    <w:rsid w:val="00BD6700"/>
    <w:rsid w:val="00C0779F"/>
    <w:rsid w:val="00C13361"/>
    <w:rsid w:val="00C15090"/>
    <w:rsid w:val="00C43E42"/>
    <w:rsid w:val="00C4447F"/>
    <w:rsid w:val="00C444BF"/>
    <w:rsid w:val="00C515F0"/>
    <w:rsid w:val="00C6781E"/>
    <w:rsid w:val="00C81657"/>
    <w:rsid w:val="00C85062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70C2"/>
    <w:rsid w:val="00E64247"/>
    <w:rsid w:val="00E66429"/>
    <w:rsid w:val="00E858C1"/>
    <w:rsid w:val="00EA71DB"/>
    <w:rsid w:val="00EC3513"/>
    <w:rsid w:val="00ED3129"/>
    <w:rsid w:val="00ED47FF"/>
    <w:rsid w:val="00ED5D64"/>
    <w:rsid w:val="00F03F38"/>
    <w:rsid w:val="00F21B7F"/>
    <w:rsid w:val="00F21D44"/>
    <w:rsid w:val="00F363FB"/>
    <w:rsid w:val="00F40CFA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2DE2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822D3-BD82-4B6C-9B73-36A396B1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uiPriority w:val="99"/>
    <w:rsid w:val="00A824D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A824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FC8B3-6143-460A-A0DF-EB0B6571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petrb</cp:lastModifiedBy>
  <cp:revision>4</cp:revision>
  <cp:lastPrinted>2025-03-14T06:55:00Z</cp:lastPrinted>
  <dcterms:created xsi:type="dcterms:W3CDTF">2025-04-23T09:10:00Z</dcterms:created>
  <dcterms:modified xsi:type="dcterms:W3CDTF">2025-04-23T09:10:00Z</dcterms:modified>
</cp:coreProperties>
</file>