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50" w:rsidRPr="00154D09" w:rsidRDefault="00086E50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086E50" w:rsidRPr="00154D09" w:rsidRDefault="00F26654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55880</wp:posOffset>
            </wp:positionV>
            <wp:extent cx="1309370" cy="760730"/>
            <wp:effectExtent l="19050" t="0" r="5080" b="0"/>
            <wp:wrapSquare wrapText="bothSides"/>
            <wp:docPr id="3" name="obrázek 1" descr="\\server1\Homes\LVavruskova\znak\znak města barevný nov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Homes\LVavruskova\znak\znak města barevný nový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E9F" w:rsidRDefault="00816E9F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816E9F" w:rsidRDefault="00816E9F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816E9F" w:rsidRDefault="00816E9F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816E9F" w:rsidRDefault="00816E9F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816E9F" w:rsidRDefault="00816E9F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CE160A" w:rsidRPr="00816E9F" w:rsidRDefault="00D92766" w:rsidP="00C77ECB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816E9F">
        <w:rPr>
          <w:rFonts w:asciiTheme="minorHAnsi" w:hAnsiTheme="minorHAnsi" w:cstheme="minorHAnsi"/>
          <w:b/>
          <w:bCs/>
        </w:rPr>
        <w:t xml:space="preserve">Nařízení </w:t>
      </w:r>
    </w:p>
    <w:p w:rsidR="00C77ECB" w:rsidRPr="00154D09" w:rsidRDefault="00CE160A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M</w:t>
      </w:r>
      <w:r w:rsidR="007816C1">
        <w:rPr>
          <w:rFonts w:asciiTheme="minorHAnsi" w:hAnsiTheme="minorHAnsi" w:cstheme="minorHAnsi"/>
          <w:b/>
          <w:bCs/>
          <w:sz w:val="22"/>
        </w:rPr>
        <w:t>ěsta Terezín</w:t>
      </w:r>
    </w:p>
    <w:p w:rsidR="00086E50" w:rsidRPr="00154D09" w:rsidRDefault="00086E50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</w:p>
    <w:p w:rsidR="00D92766" w:rsidRPr="00154D09" w:rsidRDefault="00D92766" w:rsidP="00C77ECB">
      <w:pPr>
        <w:pStyle w:val="Zkladntext"/>
        <w:jc w:val="center"/>
        <w:rPr>
          <w:rFonts w:asciiTheme="minorHAnsi" w:hAnsiTheme="minorHAnsi" w:cstheme="minorHAnsi"/>
          <w:b/>
          <w:bCs/>
          <w:sz w:val="22"/>
        </w:rPr>
      </w:pPr>
      <w:r w:rsidRPr="00154D09">
        <w:rPr>
          <w:rFonts w:asciiTheme="minorHAnsi" w:hAnsiTheme="minorHAnsi" w:cstheme="minorHAnsi"/>
          <w:b/>
          <w:bCs/>
          <w:sz w:val="22"/>
        </w:rPr>
        <w:t>kterým se vymezují oblasti obce, ve kterých lze místní komunikace nebo jejich určené úseky užít ke stání vozidla jen za sjednanou cenu</w:t>
      </w:r>
    </w:p>
    <w:p w:rsidR="00D92766" w:rsidRPr="00154D09" w:rsidRDefault="00D92766" w:rsidP="00D92766">
      <w:pPr>
        <w:spacing w:after="0" w:line="240" w:lineRule="auto"/>
        <w:jc w:val="both"/>
        <w:rPr>
          <w:rFonts w:eastAsia="Times New Roman" w:cstheme="minorHAnsi"/>
          <w:b/>
          <w:bCs/>
          <w:szCs w:val="24"/>
          <w:lang w:eastAsia="cs-CZ"/>
        </w:rPr>
      </w:pPr>
    </w:p>
    <w:p w:rsidR="00D92766" w:rsidRPr="00154D09" w:rsidRDefault="00D92766" w:rsidP="00086E50">
      <w:pPr>
        <w:pStyle w:val="Zkladntext"/>
        <w:rPr>
          <w:rFonts w:asciiTheme="minorHAnsi" w:hAnsiTheme="minorHAnsi" w:cstheme="minorHAnsi"/>
          <w:sz w:val="22"/>
        </w:rPr>
      </w:pPr>
      <w:r w:rsidRPr="00154D09">
        <w:rPr>
          <w:rFonts w:asciiTheme="minorHAnsi" w:hAnsiTheme="minorHAnsi" w:cstheme="minorHAnsi"/>
          <w:sz w:val="22"/>
        </w:rPr>
        <w:t xml:space="preserve">Rada </w:t>
      </w:r>
      <w:r w:rsidR="00802AEF" w:rsidRPr="00154D09">
        <w:rPr>
          <w:rFonts w:asciiTheme="minorHAnsi" w:hAnsiTheme="minorHAnsi" w:cstheme="minorHAnsi"/>
          <w:sz w:val="22"/>
        </w:rPr>
        <w:t>města Terezín</w:t>
      </w:r>
      <w:r w:rsidRPr="00154D09">
        <w:rPr>
          <w:rFonts w:asciiTheme="minorHAnsi" w:hAnsiTheme="minorHAnsi" w:cstheme="minorHAnsi"/>
          <w:sz w:val="22"/>
        </w:rPr>
        <w:t xml:space="preserve"> se na svém zasedání dne </w:t>
      </w:r>
      <w:r w:rsidR="000F3D5A">
        <w:rPr>
          <w:rFonts w:asciiTheme="minorHAnsi" w:hAnsiTheme="minorHAnsi" w:cstheme="minorHAnsi"/>
          <w:sz w:val="22"/>
        </w:rPr>
        <w:t>30. srpna 2023,</w:t>
      </w:r>
      <w:r w:rsidRPr="00154D09">
        <w:rPr>
          <w:rFonts w:asciiTheme="minorHAnsi" w:hAnsiTheme="minorHAnsi" w:cstheme="minorHAnsi"/>
          <w:sz w:val="22"/>
        </w:rPr>
        <w:t xml:space="preserve"> usnesením č. </w:t>
      </w:r>
      <w:r w:rsidR="009A1B21">
        <w:rPr>
          <w:rFonts w:asciiTheme="minorHAnsi" w:hAnsiTheme="minorHAnsi" w:cstheme="minorHAnsi"/>
          <w:sz w:val="22"/>
        </w:rPr>
        <w:t>UR-230-16/23</w:t>
      </w:r>
      <w:r w:rsidR="00797EEC">
        <w:rPr>
          <w:rFonts w:asciiTheme="minorHAnsi" w:hAnsiTheme="minorHAnsi" w:cstheme="minorHAnsi"/>
          <w:sz w:val="22"/>
        </w:rPr>
        <w:t xml:space="preserve"> usnesla vydat na základě § 23 </w:t>
      </w:r>
      <w:r w:rsidRPr="00154D09">
        <w:rPr>
          <w:rFonts w:asciiTheme="minorHAnsi" w:hAnsiTheme="minorHAnsi" w:cstheme="minorHAnsi"/>
          <w:sz w:val="22"/>
        </w:rPr>
        <w:t>odst. 1</w:t>
      </w:r>
      <w:r w:rsidR="000F3D5A">
        <w:rPr>
          <w:rFonts w:asciiTheme="minorHAnsi" w:hAnsiTheme="minorHAnsi" w:cstheme="minorHAnsi"/>
          <w:sz w:val="22"/>
        </w:rPr>
        <w:t xml:space="preserve"> </w:t>
      </w:r>
      <w:r w:rsidR="000F3D5A" w:rsidRPr="000F3D5A">
        <w:rPr>
          <w:rFonts w:asciiTheme="minorHAnsi" w:hAnsiTheme="minorHAnsi" w:cstheme="minorHAnsi"/>
          <w:sz w:val="22"/>
        </w:rPr>
        <w:t>písm.</w:t>
      </w:r>
      <w:r w:rsidRPr="000F3D5A">
        <w:rPr>
          <w:rFonts w:asciiTheme="minorHAnsi" w:hAnsiTheme="minorHAnsi" w:cstheme="minorHAnsi"/>
          <w:sz w:val="22"/>
        </w:rPr>
        <w:t xml:space="preserve"> </w:t>
      </w:r>
      <w:r w:rsidR="000F3D5A" w:rsidRPr="000F3D5A">
        <w:rPr>
          <w:rFonts w:asciiTheme="minorHAnsi" w:hAnsiTheme="minorHAnsi" w:cstheme="minorHAnsi"/>
          <w:sz w:val="22"/>
        </w:rPr>
        <w:t>a)</w:t>
      </w:r>
      <w:r w:rsidR="000F3D5A">
        <w:rPr>
          <w:rFonts w:asciiTheme="minorHAnsi" w:hAnsiTheme="minorHAnsi" w:cstheme="minorHAnsi"/>
          <w:sz w:val="22"/>
        </w:rPr>
        <w:t xml:space="preserve"> </w:t>
      </w:r>
      <w:r w:rsidRPr="00154D09">
        <w:rPr>
          <w:rFonts w:asciiTheme="minorHAnsi" w:hAnsiTheme="minorHAnsi" w:cstheme="minorHAnsi"/>
          <w:sz w:val="22"/>
        </w:rPr>
        <w:t>a odst. 3</w:t>
      </w:r>
      <w:r w:rsidR="000F3D5A">
        <w:rPr>
          <w:rFonts w:asciiTheme="minorHAnsi" w:hAnsiTheme="minorHAnsi" w:cstheme="minorHAnsi"/>
          <w:sz w:val="22"/>
        </w:rPr>
        <w:t>,</w:t>
      </w:r>
      <w:r w:rsidRPr="00154D09">
        <w:rPr>
          <w:rFonts w:asciiTheme="minorHAnsi" w:hAnsiTheme="minorHAnsi" w:cstheme="minorHAnsi"/>
          <w:sz w:val="22"/>
        </w:rPr>
        <w:t xml:space="preserve"> zákona č. 13/1997 Sb., o pozemních komunikacích, </w:t>
      </w:r>
      <w:r w:rsidR="00797EEC">
        <w:rPr>
          <w:rFonts w:asciiTheme="minorHAnsi" w:hAnsiTheme="minorHAnsi" w:cstheme="minorHAnsi"/>
          <w:sz w:val="22"/>
        </w:rPr>
        <w:t>ve znění pozdějších předpisů, a </w:t>
      </w:r>
      <w:r w:rsidRPr="00154D09">
        <w:rPr>
          <w:rFonts w:asciiTheme="minorHAnsi" w:hAnsiTheme="minorHAnsi" w:cstheme="minorHAnsi"/>
          <w:sz w:val="22"/>
        </w:rPr>
        <w:t xml:space="preserve">v souladu s § 11 odst. </w:t>
      </w:r>
      <w:smartTag w:uri="urn:schemas-microsoft-com:office:smarttags" w:element="metricconverter">
        <w:smartTagPr>
          <w:attr w:name="ProductID" w:val="1 a"/>
        </w:smartTagPr>
        <w:r w:rsidRPr="00154D09">
          <w:rPr>
            <w:rFonts w:asciiTheme="minorHAnsi" w:hAnsiTheme="minorHAnsi" w:cstheme="minorHAnsi"/>
            <w:sz w:val="22"/>
          </w:rPr>
          <w:t>1 a</w:t>
        </w:r>
      </w:smartTag>
      <w:r w:rsidRPr="00154D09">
        <w:rPr>
          <w:rFonts w:asciiTheme="minorHAnsi" w:hAnsiTheme="minorHAnsi" w:cstheme="minorHAnsi"/>
          <w:sz w:val="22"/>
        </w:rPr>
        <w:t xml:space="preserve"> § 102 odst. 2 písm. d) zákona č. 128/2000 Sb., o obcích (obecní zřízení), ve znění pozdějších předpisů, toto nařízení:</w:t>
      </w:r>
    </w:p>
    <w:p w:rsidR="00086E50" w:rsidRPr="00154D09" w:rsidRDefault="00086E50" w:rsidP="00086E50">
      <w:pPr>
        <w:pStyle w:val="Zkladntext"/>
        <w:rPr>
          <w:rFonts w:asciiTheme="minorHAnsi" w:hAnsiTheme="minorHAnsi" w:cstheme="minorHAnsi"/>
          <w:sz w:val="22"/>
        </w:rPr>
      </w:pPr>
    </w:p>
    <w:p w:rsidR="00D92766" w:rsidRPr="00154D09" w:rsidRDefault="00D92766" w:rsidP="00D92766">
      <w:pPr>
        <w:spacing w:after="0" w:line="240" w:lineRule="auto"/>
        <w:jc w:val="both"/>
        <w:rPr>
          <w:rFonts w:eastAsia="Times New Roman" w:cstheme="minorHAnsi"/>
          <w:szCs w:val="24"/>
          <w:lang w:eastAsia="cs-CZ"/>
        </w:rPr>
      </w:pPr>
    </w:p>
    <w:p w:rsidR="00D92766" w:rsidRPr="00816E9F" w:rsidRDefault="00D92766" w:rsidP="00D92766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Cs w:val="24"/>
          <w:lang w:eastAsia="cs-CZ"/>
        </w:rPr>
      </w:pPr>
      <w:r w:rsidRPr="00816E9F">
        <w:rPr>
          <w:rFonts w:eastAsia="Times New Roman" w:cstheme="minorHAnsi"/>
          <w:b/>
          <w:szCs w:val="24"/>
          <w:lang w:eastAsia="cs-CZ"/>
        </w:rPr>
        <w:t>Čl. 1</w:t>
      </w:r>
    </w:p>
    <w:p w:rsidR="00D92766" w:rsidRPr="00816E9F" w:rsidRDefault="00D92766" w:rsidP="00816E9F">
      <w:pPr>
        <w:keepNext/>
        <w:spacing w:after="240" w:line="240" w:lineRule="auto"/>
        <w:jc w:val="center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>Vymezení oblastí obce</w:t>
      </w:r>
    </w:p>
    <w:p w:rsidR="0095136B" w:rsidRPr="00154D09" w:rsidRDefault="00154D09" w:rsidP="00CE160A">
      <w:pPr>
        <w:jc w:val="both"/>
        <w:rPr>
          <w:rFonts w:cstheme="minorHAnsi"/>
        </w:rPr>
      </w:pPr>
      <w:r w:rsidRPr="00154D09">
        <w:rPr>
          <w:rFonts w:cstheme="minorHAnsi"/>
        </w:rPr>
        <w:t xml:space="preserve">Tímto nařízením se </w:t>
      </w:r>
      <w:r w:rsidR="007517FA">
        <w:rPr>
          <w:rFonts w:cstheme="minorHAnsi"/>
        </w:rPr>
        <w:t xml:space="preserve">pro účely organizování dopravy </w:t>
      </w:r>
      <w:r w:rsidRPr="00154D09">
        <w:rPr>
          <w:rFonts w:cstheme="minorHAnsi"/>
        </w:rPr>
        <w:t>vymezují místní komunikace nebo jejich úseky, které lze v souladu s ustanovením §23 odst. 1 písm. a) zákona č.</w:t>
      </w:r>
      <w:r w:rsidR="000F3D5A">
        <w:rPr>
          <w:rFonts w:cstheme="minorHAnsi"/>
        </w:rPr>
        <w:t xml:space="preserve"> </w:t>
      </w:r>
      <w:r w:rsidRPr="00154D09">
        <w:rPr>
          <w:rFonts w:cstheme="minorHAnsi"/>
        </w:rPr>
        <w:t xml:space="preserve">13/1997 Sb., o pozemních komunikacích, ve znění </w:t>
      </w:r>
      <w:r w:rsidR="000F3D5A">
        <w:rPr>
          <w:rFonts w:cstheme="minorHAnsi"/>
        </w:rPr>
        <w:t>pozdějších předpisů</w:t>
      </w:r>
      <w:r w:rsidRPr="00154D09">
        <w:rPr>
          <w:rFonts w:cstheme="minorHAnsi"/>
        </w:rPr>
        <w:t>, užít za cenu sjednanou v souladu s cenovými předpisy k stání silničního motorového vozidla na dobu časově omezenou, nejvýše však na dobu 24 hodin.</w:t>
      </w:r>
    </w:p>
    <w:p w:rsidR="00154D09" w:rsidRPr="00154D09" w:rsidRDefault="00CE160A" w:rsidP="001964A2">
      <w:pPr>
        <w:jc w:val="both"/>
        <w:rPr>
          <w:rFonts w:cstheme="minorHAnsi"/>
        </w:rPr>
      </w:pPr>
      <w:r>
        <w:rPr>
          <w:rFonts w:cstheme="minorHAnsi"/>
        </w:rPr>
        <w:t>Jedná se o p</w:t>
      </w:r>
      <w:r w:rsidR="00154D09">
        <w:rPr>
          <w:rFonts w:cstheme="minorHAnsi"/>
        </w:rPr>
        <w:t>loch</w:t>
      </w:r>
      <w:r>
        <w:rPr>
          <w:rFonts w:cstheme="minorHAnsi"/>
        </w:rPr>
        <w:t>u</w:t>
      </w:r>
      <w:r w:rsidR="00154D09">
        <w:rPr>
          <w:rFonts w:cstheme="minorHAnsi"/>
        </w:rPr>
        <w:t xml:space="preserve"> veřejného parkoviště na pozemcích p.</w:t>
      </w:r>
      <w:r>
        <w:rPr>
          <w:rFonts w:cstheme="minorHAnsi"/>
        </w:rPr>
        <w:t xml:space="preserve"> </w:t>
      </w:r>
      <w:r w:rsidR="00154D09">
        <w:rPr>
          <w:rFonts w:cstheme="minorHAnsi"/>
        </w:rPr>
        <w:t>č. 540, 541, 544, 545, 543 v kata</w:t>
      </w:r>
      <w:r w:rsidR="001964A2">
        <w:rPr>
          <w:rFonts w:cstheme="minorHAnsi"/>
        </w:rPr>
        <w:t>s</w:t>
      </w:r>
      <w:r w:rsidR="00154D09">
        <w:rPr>
          <w:rFonts w:cstheme="minorHAnsi"/>
        </w:rPr>
        <w:t xml:space="preserve">trálním </w:t>
      </w:r>
      <w:r>
        <w:rPr>
          <w:rFonts w:cstheme="minorHAnsi"/>
        </w:rPr>
        <w:t xml:space="preserve">území Terezín (záchytné parkoviště u </w:t>
      </w:r>
      <w:proofErr w:type="spellStart"/>
      <w:r>
        <w:rPr>
          <w:rFonts w:cstheme="minorHAnsi"/>
        </w:rPr>
        <w:t>infocentra</w:t>
      </w:r>
      <w:proofErr w:type="spellEnd"/>
      <w:r>
        <w:rPr>
          <w:rFonts w:cstheme="minorHAnsi"/>
        </w:rPr>
        <w:t xml:space="preserve"> města).</w:t>
      </w:r>
    </w:p>
    <w:p w:rsidR="00F43A2F" w:rsidRPr="00154D09" w:rsidRDefault="00F43A2F" w:rsidP="0095136B">
      <w:pPr>
        <w:spacing w:after="0" w:line="240" w:lineRule="auto"/>
        <w:ind w:left="360"/>
        <w:jc w:val="both"/>
        <w:rPr>
          <w:rFonts w:eastAsia="Times New Roman" w:cstheme="minorHAnsi"/>
          <w:szCs w:val="24"/>
          <w:lang w:eastAsia="cs-CZ"/>
        </w:rPr>
      </w:pPr>
    </w:p>
    <w:p w:rsidR="00D92766" w:rsidRPr="00816E9F" w:rsidRDefault="00D92766" w:rsidP="00D92766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>Čl. 2</w:t>
      </w:r>
    </w:p>
    <w:p w:rsidR="00D92766" w:rsidRPr="00816E9F" w:rsidRDefault="00D92766" w:rsidP="00816E9F">
      <w:pPr>
        <w:keepNext/>
        <w:spacing w:after="240" w:line="240" w:lineRule="auto"/>
        <w:jc w:val="center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>Způsob placení sjednané ceny</w:t>
      </w:r>
    </w:p>
    <w:p w:rsidR="00F43A2F" w:rsidRPr="00CE160A" w:rsidRDefault="00154D09" w:rsidP="00CE160A">
      <w:pPr>
        <w:spacing w:after="0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CE160A">
        <w:rPr>
          <w:rFonts w:eastAsia="Times New Roman" w:cstheme="minorHAnsi"/>
          <w:szCs w:val="24"/>
          <w:lang w:eastAsia="cs-CZ"/>
        </w:rPr>
        <w:t>Sjednaná cena se platí z</w:t>
      </w:r>
      <w:r w:rsidR="00D92766" w:rsidRPr="00CE160A">
        <w:rPr>
          <w:rFonts w:eastAsia="Times New Roman" w:cstheme="minorHAnsi"/>
          <w:szCs w:val="24"/>
          <w:lang w:eastAsia="cs-CZ"/>
        </w:rPr>
        <w:t>akoupení</w:t>
      </w:r>
      <w:r w:rsidR="00F41E5E" w:rsidRPr="00CE160A">
        <w:rPr>
          <w:rFonts w:eastAsia="Times New Roman" w:cstheme="minorHAnsi"/>
          <w:szCs w:val="24"/>
          <w:lang w:eastAsia="cs-CZ"/>
        </w:rPr>
        <w:t>m</w:t>
      </w:r>
      <w:r w:rsidR="00D92766" w:rsidRPr="00CE160A">
        <w:rPr>
          <w:rFonts w:eastAsia="Times New Roman" w:cstheme="minorHAnsi"/>
          <w:szCs w:val="24"/>
          <w:lang w:eastAsia="cs-CZ"/>
        </w:rPr>
        <w:t xml:space="preserve"> parkovací</w:t>
      </w:r>
      <w:r w:rsidRPr="00CE160A">
        <w:rPr>
          <w:rFonts w:eastAsia="Times New Roman" w:cstheme="minorHAnsi"/>
          <w:szCs w:val="24"/>
          <w:lang w:eastAsia="cs-CZ"/>
        </w:rPr>
        <w:t xml:space="preserve">ho lístku v parkovacím automatu umístěném na parkovišti. </w:t>
      </w:r>
    </w:p>
    <w:p w:rsidR="00D92766" w:rsidRPr="00154D09" w:rsidRDefault="00D92766" w:rsidP="00D92766">
      <w:pPr>
        <w:spacing w:after="0" w:line="240" w:lineRule="auto"/>
        <w:ind w:firstLine="720"/>
        <w:jc w:val="both"/>
        <w:rPr>
          <w:rFonts w:eastAsia="Times New Roman" w:cstheme="minorHAnsi"/>
          <w:szCs w:val="24"/>
          <w:lang w:eastAsia="cs-CZ"/>
        </w:rPr>
      </w:pPr>
    </w:p>
    <w:p w:rsidR="00D92766" w:rsidRPr="00816E9F" w:rsidRDefault="00D92766" w:rsidP="00D92766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>Čl. 3</w:t>
      </w:r>
    </w:p>
    <w:p w:rsidR="00D92766" w:rsidRPr="00816E9F" w:rsidRDefault="00D92766" w:rsidP="00816E9F">
      <w:pPr>
        <w:keepNext/>
        <w:spacing w:after="240" w:line="240" w:lineRule="auto"/>
        <w:jc w:val="center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>Prokázání zaplacení sjednané ceny</w:t>
      </w:r>
    </w:p>
    <w:p w:rsidR="00D92766" w:rsidRDefault="00D92766" w:rsidP="00CE160A">
      <w:pPr>
        <w:spacing w:after="0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CE160A">
        <w:rPr>
          <w:rFonts w:eastAsia="Times New Roman" w:cstheme="minorHAnsi"/>
          <w:szCs w:val="24"/>
          <w:lang w:eastAsia="cs-CZ"/>
        </w:rPr>
        <w:t>Zaplacení sjednané ceny se prokazuje umístěním platné</w:t>
      </w:r>
      <w:r w:rsidR="00154D09" w:rsidRPr="00CE160A">
        <w:rPr>
          <w:rFonts w:eastAsia="Times New Roman" w:cstheme="minorHAnsi"/>
          <w:szCs w:val="24"/>
          <w:lang w:eastAsia="cs-CZ"/>
        </w:rPr>
        <w:t>ho</w:t>
      </w:r>
      <w:r w:rsidRPr="00CE160A">
        <w:rPr>
          <w:rFonts w:eastAsia="Times New Roman" w:cstheme="minorHAnsi"/>
          <w:szCs w:val="24"/>
          <w:lang w:eastAsia="cs-CZ"/>
        </w:rPr>
        <w:t xml:space="preserve"> parkovací</w:t>
      </w:r>
      <w:r w:rsidR="00154D09" w:rsidRPr="00CE160A">
        <w:rPr>
          <w:rFonts w:eastAsia="Times New Roman" w:cstheme="minorHAnsi"/>
          <w:szCs w:val="24"/>
          <w:lang w:eastAsia="cs-CZ"/>
        </w:rPr>
        <w:t>ho lístku</w:t>
      </w:r>
      <w:r w:rsidRPr="00CE160A">
        <w:rPr>
          <w:rFonts w:eastAsia="Times New Roman" w:cstheme="minorHAnsi"/>
          <w:szCs w:val="24"/>
          <w:lang w:eastAsia="cs-CZ"/>
        </w:rPr>
        <w:t xml:space="preserve"> po celou dobu stání silničního motorového vozidla na viditelném místě za předním sklem vozidla tak, aby byly veškeré údaje uvedené na tomto dokladu čitelné z vnějšku vozidla. </w:t>
      </w:r>
    </w:p>
    <w:p w:rsidR="001964A2" w:rsidRPr="00CE160A" w:rsidRDefault="001964A2" w:rsidP="00CE160A">
      <w:pPr>
        <w:spacing w:after="0" w:line="240" w:lineRule="auto"/>
        <w:jc w:val="both"/>
        <w:rPr>
          <w:rFonts w:eastAsia="Times New Roman" w:cstheme="minorHAnsi"/>
          <w:szCs w:val="24"/>
          <w:lang w:eastAsia="cs-CZ"/>
        </w:rPr>
      </w:pPr>
    </w:p>
    <w:p w:rsidR="00D92766" w:rsidRPr="00816E9F" w:rsidRDefault="00D92766" w:rsidP="001964A2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 xml:space="preserve">Čl. </w:t>
      </w:r>
      <w:r w:rsidR="00F066BF" w:rsidRPr="00816E9F">
        <w:rPr>
          <w:rFonts w:eastAsia="Times New Roman" w:cstheme="minorHAnsi"/>
          <w:b/>
          <w:bCs/>
          <w:szCs w:val="24"/>
          <w:lang w:eastAsia="cs-CZ"/>
        </w:rPr>
        <w:t>4</w:t>
      </w:r>
    </w:p>
    <w:p w:rsidR="00D92766" w:rsidRPr="00816E9F" w:rsidRDefault="00D92766" w:rsidP="00816E9F">
      <w:pPr>
        <w:keepNext/>
        <w:spacing w:after="240" w:line="240" w:lineRule="auto"/>
        <w:jc w:val="center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816E9F">
        <w:rPr>
          <w:rFonts w:eastAsia="Times New Roman" w:cstheme="minorHAnsi"/>
          <w:b/>
          <w:bCs/>
          <w:szCs w:val="24"/>
          <w:lang w:eastAsia="cs-CZ"/>
        </w:rPr>
        <w:t>Účinnost</w:t>
      </w:r>
    </w:p>
    <w:p w:rsidR="007816C1" w:rsidRPr="007816C1" w:rsidRDefault="007816C1" w:rsidP="007816C1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lang w:eastAsia="cs-CZ"/>
        </w:rPr>
      </w:pPr>
      <w:r w:rsidRPr="007816C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Toto nařízení nabývá účinnosti počátkem patnáctého dne následujícího po dni jeho vyhlášení. </w:t>
      </w:r>
    </w:p>
    <w:p w:rsidR="00D92766" w:rsidRPr="00154D09" w:rsidRDefault="00D92766" w:rsidP="00D92766">
      <w:pPr>
        <w:tabs>
          <w:tab w:val="left" w:pos="540"/>
        </w:tabs>
        <w:spacing w:after="0" w:line="240" w:lineRule="auto"/>
        <w:jc w:val="center"/>
        <w:rPr>
          <w:rFonts w:eastAsia="Times New Roman" w:cstheme="minorHAnsi"/>
          <w:szCs w:val="24"/>
          <w:lang w:eastAsia="cs-CZ"/>
        </w:rPr>
      </w:pPr>
    </w:p>
    <w:p w:rsidR="00D92766" w:rsidRDefault="00D92766" w:rsidP="00D92766">
      <w:pPr>
        <w:tabs>
          <w:tab w:val="left" w:pos="540"/>
        </w:tabs>
        <w:spacing w:after="0" w:line="240" w:lineRule="auto"/>
        <w:jc w:val="center"/>
        <w:rPr>
          <w:rFonts w:eastAsia="Times New Roman" w:cstheme="minorHAnsi"/>
          <w:szCs w:val="24"/>
          <w:lang w:eastAsia="cs-CZ"/>
        </w:rPr>
      </w:pPr>
    </w:p>
    <w:p w:rsidR="00816E9F" w:rsidRPr="00154D09" w:rsidRDefault="00816E9F" w:rsidP="00D92766">
      <w:pPr>
        <w:tabs>
          <w:tab w:val="left" w:pos="540"/>
        </w:tabs>
        <w:spacing w:after="0" w:line="240" w:lineRule="auto"/>
        <w:jc w:val="center"/>
        <w:rPr>
          <w:rFonts w:eastAsia="Times New Roman" w:cstheme="minorHAnsi"/>
          <w:szCs w:val="24"/>
          <w:lang w:eastAsia="cs-CZ"/>
        </w:rPr>
      </w:pPr>
    </w:p>
    <w:p w:rsidR="00D92766" w:rsidRPr="00154D09" w:rsidRDefault="00D92766" w:rsidP="00D92766">
      <w:pPr>
        <w:tabs>
          <w:tab w:val="left" w:pos="1196"/>
          <w:tab w:val="left" w:pos="7348"/>
        </w:tabs>
        <w:adjustRightInd w:val="0"/>
        <w:spacing w:after="0" w:line="240" w:lineRule="atLeast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154D09">
        <w:rPr>
          <w:rFonts w:eastAsia="Times New Roman" w:cstheme="minorHAnsi"/>
          <w:color w:val="000000"/>
          <w:szCs w:val="24"/>
          <w:lang w:eastAsia="cs-CZ"/>
        </w:rPr>
        <w:tab/>
      </w:r>
    </w:p>
    <w:p w:rsidR="00D92766" w:rsidRDefault="00D92766" w:rsidP="00D92766">
      <w:pPr>
        <w:tabs>
          <w:tab w:val="left" w:pos="1361"/>
          <w:tab w:val="left" w:pos="7740"/>
        </w:tabs>
        <w:adjustRightInd w:val="0"/>
        <w:spacing w:after="0" w:line="240" w:lineRule="atLeast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154D09">
        <w:rPr>
          <w:rFonts w:eastAsia="Times New Roman" w:cstheme="minorHAnsi"/>
          <w:color w:val="000000"/>
          <w:szCs w:val="24"/>
          <w:lang w:eastAsia="cs-CZ"/>
        </w:rPr>
        <w:t>starosta</w:t>
      </w:r>
      <w:r w:rsidRPr="00154D09">
        <w:rPr>
          <w:rFonts w:eastAsia="Times New Roman" w:cstheme="minorHAnsi"/>
          <w:color w:val="000000"/>
          <w:szCs w:val="24"/>
          <w:lang w:eastAsia="cs-CZ"/>
        </w:rPr>
        <w:tab/>
      </w:r>
      <w:r w:rsidR="00DF1988" w:rsidRPr="00154D09">
        <w:rPr>
          <w:rFonts w:eastAsia="Times New Roman" w:cstheme="minorHAnsi"/>
          <w:color w:val="000000"/>
          <w:szCs w:val="24"/>
          <w:lang w:eastAsia="cs-CZ"/>
        </w:rPr>
        <w:tab/>
        <w:t>místo</w:t>
      </w:r>
      <w:r w:rsidRPr="00154D09">
        <w:rPr>
          <w:rFonts w:eastAsia="Times New Roman" w:cstheme="minorHAnsi"/>
          <w:color w:val="000000"/>
          <w:szCs w:val="24"/>
          <w:lang w:eastAsia="cs-CZ"/>
        </w:rPr>
        <w:t>starosta</w:t>
      </w:r>
    </w:p>
    <w:p w:rsidR="00ED2A8B" w:rsidRPr="00154D09" w:rsidRDefault="00CE160A" w:rsidP="00F016D0">
      <w:pPr>
        <w:tabs>
          <w:tab w:val="left" w:pos="1361"/>
          <w:tab w:val="left" w:pos="7740"/>
        </w:tabs>
        <w:adjustRightInd w:val="0"/>
        <w:spacing w:after="0" w:line="240" w:lineRule="atLeast"/>
        <w:rPr>
          <w:rFonts w:cstheme="minorHAnsi"/>
          <w:sz w:val="20"/>
        </w:rPr>
      </w:pPr>
      <w:r>
        <w:rPr>
          <w:rFonts w:eastAsia="Times New Roman" w:cstheme="minorHAnsi"/>
          <w:color w:val="000000"/>
          <w:szCs w:val="24"/>
          <w:lang w:eastAsia="cs-CZ"/>
        </w:rPr>
        <w:t>René Tomášek</w:t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  <w:t>Aleš Lepič</w:t>
      </w:r>
    </w:p>
    <w:sectPr w:rsidR="00ED2A8B" w:rsidRPr="00154D09" w:rsidSect="0095136B">
      <w:pgSz w:w="11906" w:h="16838" w:code="9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F7" w:rsidRDefault="00F230F7" w:rsidP="00D92766">
      <w:pPr>
        <w:spacing w:after="0" w:line="240" w:lineRule="auto"/>
      </w:pPr>
      <w:r>
        <w:separator/>
      </w:r>
    </w:p>
  </w:endnote>
  <w:endnote w:type="continuationSeparator" w:id="0">
    <w:p w:rsidR="00F230F7" w:rsidRDefault="00F230F7" w:rsidP="00D9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F7" w:rsidRDefault="00F230F7" w:rsidP="00D92766">
      <w:pPr>
        <w:spacing w:after="0" w:line="240" w:lineRule="auto"/>
      </w:pPr>
      <w:r>
        <w:separator/>
      </w:r>
    </w:p>
  </w:footnote>
  <w:footnote w:type="continuationSeparator" w:id="0">
    <w:p w:rsidR="00F230F7" w:rsidRDefault="00F230F7" w:rsidP="00D9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11B"/>
    <w:multiLevelType w:val="hybridMultilevel"/>
    <w:tmpl w:val="81680C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841913"/>
    <w:multiLevelType w:val="hybridMultilevel"/>
    <w:tmpl w:val="4A564460"/>
    <w:lvl w:ilvl="0" w:tplc="259E7B2A">
      <w:start w:val="1"/>
      <w:numFmt w:val="decimal"/>
      <w:lvlText w:val="(%1)"/>
      <w:lvlJc w:val="left"/>
      <w:pPr>
        <w:ind w:left="105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458B4"/>
    <w:multiLevelType w:val="hybridMultilevel"/>
    <w:tmpl w:val="4626B348"/>
    <w:lvl w:ilvl="0" w:tplc="6A526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17A52"/>
    <w:multiLevelType w:val="hybridMultilevel"/>
    <w:tmpl w:val="BEF8AD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63252"/>
    <w:multiLevelType w:val="hybridMultilevel"/>
    <w:tmpl w:val="822C6D78"/>
    <w:lvl w:ilvl="0" w:tplc="259E7B2A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44AB5"/>
    <w:multiLevelType w:val="hybridMultilevel"/>
    <w:tmpl w:val="6F3A965C"/>
    <w:lvl w:ilvl="0" w:tplc="259E7B2A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00863"/>
    <w:multiLevelType w:val="hybridMultilevel"/>
    <w:tmpl w:val="51B044E4"/>
    <w:lvl w:ilvl="0" w:tplc="259E7B2A">
      <w:start w:val="1"/>
      <w:numFmt w:val="decimal"/>
      <w:lvlText w:val="(%1)"/>
      <w:lvlJc w:val="left"/>
      <w:pPr>
        <w:ind w:left="105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766"/>
    <w:rsid w:val="000035DB"/>
    <w:rsid w:val="000330B3"/>
    <w:rsid w:val="00086E50"/>
    <w:rsid w:val="00095C7B"/>
    <w:rsid w:val="000F3D5A"/>
    <w:rsid w:val="00154D09"/>
    <w:rsid w:val="00157460"/>
    <w:rsid w:val="001960C3"/>
    <w:rsid w:val="001964A2"/>
    <w:rsid w:val="001D53C8"/>
    <w:rsid w:val="002012FA"/>
    <w:rsid w:val="00235862"/>
    <w:rsid w:val="0029000F"/>
    <w:rsid w:val="00334451"/>
    <w:rsid w:val="003F449C"/>
    <w:rsid w:val="00463267"/>
    <w:rsid w:val="00474A28"/>
    <w:rsid w:val="004C0128"/>
    <w:rsid w:val="004D6BAE"/>
    <w:rsid w:val="0055571C"/>
    <w:rsid w:val="005956B3"/>
    <w:rsid w:val="006F5ECC"/>
    <w:rsid w:val="00726CA9"/>
    <w:rsid w:val="00735EC1"/>
    <w:rsid w:val="007517FA"/>
    <w:rsid w:val="00752E50"/>
    <w:rsid w:val="007816C1"/>
    <w:rsid w:val="00785A30"/>
    <w:rsid w:val="00797EEC"/>
    <w:rsid w:val="007C7F8E"/>
    <w:rsid w:val="00802AEF"/>
    <w:rsid w:val="008057C2"/>
    <w:rsid w:val="00816E9F"/>
    <w:rsid w:val="008809FB"/>
    <w:rsid w:val="008A0BCC"/>
    <w:rsid w:val="00935A6F"/>
    <w:rsid w:val="0095136B"/>
    <w:rsid w:val="00962E7E"/>
    <w:rsid w:val="00965D00"/>
    <w:rsid w:val="00992ADB"/>
    <w:rsid w:val="009A1B21"/>
    <w:rsid w:val="009B269C"/>
    <w:rsid w:val="00A003EB"/>
    <w:rsid w:val="00AB61EC"/>
    <w:rsid w:val="00B069F5"/>
    <w:rsid w:val="00BC555C"/>
    <w:rsid w:val="00BE6D56"/>
    <w:rsid w:val="00BF3D14"/>
    <w:rsid w:val="00BF5783"/>
    <w:rsid w:val="00C166A6"/>
    <w:rsid w:val="00C77ECB"/>
    <w:rsid w:val="00CB6DE9"/>
    <w:rsid w:val="00CC5316"/>
    <w:rsid w:val="00CD29D0"/>
    <w:rsid w:val="00CE160A"/>
    <w:rsid w:val="00D15C57"/>
    <w:rsid w:val="00D46C84"/>
    <w:rsid w:val="00D646D9"/>
    <w:rsid w:val="00D92766"/>
    <w:rsid w:val="00DF1988"/>
    <w:rsid w:val="00E31A58"/>
    <w:rsid w:val="00E605E9"/>
    <w:rsid w:val="00E77465"/>
    <w:rsid w:val="00ED2A8B"/>
    <w:rsid w:val="00F016D0"/>
    <w:rsid w:val="00F066BF"/>
    <w:rsid w:val="00F230F7"/>
    <w:rsid w:val="00F26654"/>
    <w:rsid w:val="00F41E5E"/>
    <w:rsid w:val="00F43A2F"/>
    <w:rsid w:val="00F4447F"/>
    <w:rsid w:val="00F8275F"/>
    <w:rsid w:val="00F9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D56"/>
  </w:style>
  <w:style w:type="paragraph" w:styleId="Nadpis1">
    <w:name w:val="heading 1"/>
    <w:basedOn w:val="Normln"/>
    <w:next w:val="Normln"/>
    <w:link w:val="Nadpis1Char"/>
    <w:uiPriority w:val="9"/>
    <w:qFormat/>
    <w:rsid w:val="00D927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D927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9276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7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276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92766"/>
    <w:rPr>
      <w:rFonts w:ascii="Times New Roman" w:eastAsia="Times New Roman" w:hAnsi="Times New Roman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92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92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927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92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2766"/>
    <w:pPr>
      <w:autoSpaceDE w:val="0"/>
      <w:autoSpaceDN w:val="0"/>
      <w:adjustRightInd w:val="0"/>
      <w:spacing w:after="0" w:line="240" w:lineRule="atLeast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927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9276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7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76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A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69F5"/>
    <w:pPr>
      <w:ind w:left="720"/>
      <w:contextualSpacing/>
    </w:pPr>
  </w:style>
  <w:style w:type="paragraph" w:customStyle="1" w:styleId="Default">
    <w:name w:val="Default"/>
    <w:rsid w:val="007816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Zádrapa Tomáš</dc:creator>
  <cp:lastModifiedBy>Tajemník</cp:lastModifiedBy>
  <cp:revision>4</cp:revision>
  <cp:lastPrinted>2023-08-31T11:18:00Z</cp:lastPrinted>
  <dcterms:created xsi:type="dcterms:W3CDTF">2023-08-31T11:25:00Z</dcterms:created>
  <dcterms:modified xsi:type="dcterms:W3CDTF">2023-10-05T07:56:00Z</dcterms:modified>
</cp:coreProperties>
</file>