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Citonice</w:t>
        <w:br/>
        <w:t>Zastupitelstvo obce Citonice</w:t>
      </w:r>
    </w:p>
    <w:p>
      <w:pPr>
        <w:pStyle w:val="Nadpis1"/>
        <w:bidi w:val="0"/>
        <w:rPr/>
      </w:pPr>
      <w:r>
        <w:rPr/>
        <w:t>Obecně závazná vyhláška obce Citonice</w:t>
        <w:br/>
        <w:t>o místním poplatku za užívání veřejného prostranství</w:t>
      </w:r>
    </w:p>
    <w:p>
      <w:pPr>
        <w:pStyle w:val="UvodniVeta"/>
        <w:bidi w:val="0"/>
        <w:rPr/>
      </w:pPr>
      <w:r>
        <w:rPr/>
        <w:t xml:space="preserve">Zastupitelstvo obce Citonice se na svém zasedání dne 14. prosince 2023 </w:t>
      </w:r>
      <w:r>
        <w:rPr/>
        <w:t>usnesením č. 9/6</w:t>
      </w:r>
      <w:r>
        <w:rPr/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Citonice touto vyhláškou zavádí místní poplatek za užívání veřejného prostranství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 a poplatník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se vybírá za zvláštní užívání veřejného prostranství, kterým se rozumí</w:t>
      </w:r>
      <w:r>
        <w:rPr>
          <w:rStyle w:val="Ukotvenpoznmkypodarou"/>
        </w:rPr>
        <w:footnoteReference w:id="3"/>
      </w:r>
      <w:r>
        <w:rPr/>
        <w:t>: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dočasných staveb sloužících pro poskytování služeb,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služeb,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dočasných staveb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sloužících pro poskytování prodeje,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reklamních zařízení,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provádění výkopových prací,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stavebních zařízení,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umístění zařízení lunaparků a jiných obdobných atrakcí,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vyhrazení trvalého parkovacího místa,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kulturní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reklamní akce,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užívání veřejného prostranství pro potřeby tvorby filmových a televizních děl.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Veřejná prostranství</w:t>
      </w:r>
    </w:p>
    <w:p>
      <w:pPr>
        <w:pStyle w:val="Odstavec"/>
        <w:bidi w:val="0"/>
        <w:rPr/>
      </w:pPr>
      <w:r>
        <w:rPr/>
        <w:t>Poplatek se platí za užívání veřejného prostranství, kterým se rozumí p.č. 367/1 náves, p.č. 368 náves, p.č. 362/1 náves, p.č. 1093/59 nová zástavba, p.č. 1107/13 nová zástavba, p.č. 1107/50 nová zástavba, p.č. 1274 nová zástavba, p.č. 1279/1 komunikace k rybníku Rušlem, p.č. 477/2 areál u rybníka Rušlem, p.č. 477/1 hřiště u rybníka Rušlem, p.č. 488/1 areál u rybníka Rušlem, p.č. 1279/4 areál u rybníka Rušlem, p.č. 1334/1 komunikace k vlakové zastávce, p.č. 1282/3,4 komunikace k vlakové zastávce, vše v k.ú. Citonice.</w:t>
      </w:r>
    </w:p>
    <w:p>
      <w:pPr>
        <w:pStyle w:val="Nadpis2"/>
        <w:bidi w:val="0"/>
        <w:rPr/>
      </w:pPr>
      <w:r>
        <w:rPr/>
        <w:t>Čl. 4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Poplatník je povinen podat správci poplatku ohlášení nejpozději 2 dny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Údaje uváděné v ohlášení upravuje zákon</w:t>
      </w:r>
      <w:r>
        <w:rPr>
          <w:rStyle w:val="Ukotvenpoznmkypodarou"/>
        </w:rPr>
        <w:footnoteReference w:id="5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poplatník povinen tuto změnu oznámit do 15 dnů ode dne, kdy nastala</w:t>
      </w:r>
      <w:r>
        <w:rPr>
          <w:rStyle w:val="Ukotvenpoznmkypodarou"/>
        </w:rPr>
        <w:footnoteReference w:id="6"/>
      </w:r>
      <w:r>
        <w:rPr/>
        <w:t>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za každý i započatý m² a každý i započatý den: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dočasných staveb sloužících pro poskytování služeb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služeb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dočasných staveb sloužících pro poskytování prodeje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sloužících pro poskytování prodeje 50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reklamních zařízení 5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provádění výkopových prací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stavebních zařízení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umístění zařízení lunaparků a jiných obdobných atrakcí 1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vyhrazení trvalého parkovacího místa 1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kulturní akce 1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reklamní akce 10 Kč,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za užívání veřejného prostranství pro potřeby tvorby filmových a televizních děl 1 Kč.</w:t>
      </w:r>
    </w:p>
    <w:p>
      <w:pPr>
        <w:pStyle w:val="Nadpis2"/>
        <w:bidi w:val="0"/>
        <w:rPr/>
      </w:pPr>
      <w:r>
        <w:rPr/>
        <w:t>Čl. 6</w:t>
        <w:br/>
        <w:t>Splatnost poplatku</w:t>
      </w:r>
    </w:p>
    <w:p>
      <w:pPr>
        <w:pStyle w:val="Odstavec"/>
        <w:bidi w:val="0"/>
        <w:rPr/>
      </w:pPr>
      <w:r>
        <w:rPr/>
        <w:t>Poplatek je splatný nejpozději do 3 dnů ode dne ukončení užívání veřejného prostranství.</w:t>
      </w:r>
    </w:p>
    <w:p>
      <w:pPr>
        <w:pStyle w:val="Nadpis2"/>
        <w:bidi w:val="0"/>
        <w:rPr/>
      </w:pPr>
      <w:r>
        <w:rPr/>
        <w:t>Čl. 7</w:t>
        <w:br/>
        <w:t xml:space="preserve"> Osvobození 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se neplatí: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za vyhrazení trvalého parkovacího místa pro osobu, která je držitelem průkazu ZTP nebo ZTP/P,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z akcí pořádaných na veřejném prostranství, jejichž celý výtěžek je odveden na charitativní a veřejně prospěšné účely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V případě, že poplatník nesplní povinnost ohlásit údaj rozhodný pro osvobození ve lhůtách stanovených touto vyhláškou nebo zákonem, nárok na osvobození zaniká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 xml:space="preserve"> Přechodné a zrušovací ustanovení 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Poplatkové povinnosti vzniklé před nabytím účinnosti této vyhlášky se posuzují podle dosavadních právních předpisů.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Zrušuje se obecně závazná vyhláška č. 1/2020, Obecně závazná vyhláška obce Citonice o místním poplatku za užívání veřejného prostranství, ze dne 10. prosince 2019.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2024.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Marie Hanáková v. r.</w:t>
              <w:br/>
              <w:t xml:space="preserve"> starostka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Ing. Petr Auer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2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poplatník uvede zejména své identifikační údaje a skutečnosti rozhodné pro stanovení poplatku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4 odst. 1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6 zákona o 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LibreOffice/7.5.4.2$Windows_X86_64 LibreOffice_project/36ccfdc35048b057fd9854c757a8b67ec53977b6</Application>
  <AppVersion>15.0000</AppVersion>
  <Pages>3</Pages>
  <Words>759</Words>
  <Characters>4264</Characters>
  <CharactersWithSpaces>4931</CharactersWithSpaces>
  <Paragraphs>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cp:lastPrinted>2023-12-13T07:55:52Z</cp:lastPrinted>
  <dcterms:modified xsi:type="dcterms:W3CDTF">2023-12-13T07:56:55Z</dcterms:modified>
  <cp:revision>1</cp:revision>
  <dc:subject/>
  <dc:title/>
</cp:coreProperties>
</file>