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848360" cy="1056005"/>
            <wp:effectExtent l="0" t="0" r="0" b="0"/>
            <wp:wrapNone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itle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Obec Velká Chmelištná</w:t>
        <w:br/>
        <w:t>Zastupitelstvo obce Velká Chmelištná</w:t>
      </w:r>
    </w:p>
    <w:p>
      <w:pPr>
        <w:pStyle w:val="Heading1"/>
        <w:keepNext w:val="true"/>
        <w:widowControl/>
        <w:numPr>
          <w:ilvl w:val="0"/>
          <w:numId w:val="1"/>
        </w:numPr>
        <w:suppressAutoHyphens w:val="true"/>
        <w:bidi w:val="0"/>
        <w:spacing w:before="238" w:after="238"/>
        <w:ind w:hanging="113" w:left="0" w:right="57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color w:val="000000"/>
          <w:spacing w:val="40"/>
          <w:sz w:val="32"/>
          <w:szCs w:val="32"/>
          <w:u w:val="none"/>
        </w:rPr>
        <w:t>Obecně závazná vyhláška obce Velká Chmelištná</w:t>
        <w:br/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2"/>
        <w:ind w:hanging="0" w:left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shd w:fill="auto" w:val="clear"/>
        </w:rPr>
        <w:t>Zastupitelstvo obce Velká Chmelištná se na svém zasedání dne </w:t>
      </w:r>
      <w:r>
        <w:rPr>
          <w:rFonts w:cs="Arial" w:ascii="Arial" w:hAnsi="Arial"/>
          <w:sz w:val="24"/>
          <w:szCs w:val="24"/>
          <w:shd w:fill="auto" w:val="clear"/>
        </w:rPr>
        <w:t xml:space="preserve">29.09. 2023 usnesením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č.5/6/2023</w:t>
      </w:r>
      <w:r>
        <w:rPr>
          <w:rFonts w:cs="Arial" w:ascii="Arial" w:hAnsi="Arial"/>
          <w:sz w:val="24"/>
          <w:szCs w:val="24"/>
          <w:shd w:fill="auto" w:val="clear"/>
        </w:rPr>
        <w:t xml:space="preserve"> </w:t>
      </w:r>
      <w:r>
        <w:rPr>
          <w:rFonts w:cs="Arial" w:ascii="Arial" w:hAnsi="Arial"/>
          <w:sz w:val="24"/>
          <w:szCs w:val="24"/>
        </w:rPr>
        <w:t>usneslo vydat na základě § 59 odst. 4 zákona č. 541/2020 Sb., o odpadech (dále jen „zákon o odpadech“), a v souladu s § 10 písm. d) a § 84 odst. 2 písm. h) zákona č. 128/2000 Sb.,o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1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4"/>
          <w:szCs w:val="24"/>
        </w:rPr>
        <w:t>Velká Chmelištná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FootnoteReference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FootnoteReference"/>
          <w:rFonts w:cs="Arial" w:ascii="Arial" w:hAnsi="Arial"/>
          <w:sz w:val="24"/>
          <w:szCs w:val="24"/>
        </w:rPr>
        <w:footnoteReference w:id="3"/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sz w:val="24"/>
          <w:szCs w:val="24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>
        <w:br w:type="page"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-142" w:leader="none"/>
        </w:tabs>
        <w:spacing w:before="0" w:after="0"/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-142" w:leader="none"/>
        </w:tabs>
        <w:ind w:hanging="426"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2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Biologické odpady</w:t>
      </w:r>
      <w:r>
        <w:rPr>
          <w:rFonts w:cs="Arial" w:ascii="Arial" w:hAnsi="Arial"/>
          <w:bCs/>
          <w:i/>
          <w:sz w:val="24"/>
          <w:szCs w:val="24"/>
        </w:rPr>
        <w:t>,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Papír včetně nápojových kartonů</w:t>
      </w:r>
    </w:p>
    <w:p>
      <w:pPr>
        <w:pStyle w:val="ListParagraph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Plasty včetně PET lahví,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Sklo,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Kovy,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Nebezpečné odpady,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Objemný odpad,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Jedlé oleje a tuky,</w:t>
      </w:r>
    </w:p>
    <w:p>
      <w:pPr>
        <w:pStyle w:val="Normal"/>
        <w:numPr>
          <w:ilvl w:val="0"/>
          <w:numId w:val="6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Směsný komunální odpad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BodyTextIndent"/>
        <w:numPr>
          <w:ilvl w:val="0"/>
          <w:numId w:val="8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Směsným komunálním odpadem se rozumí zbylý komunální odpad po stanoveném vytřídění podle odstavce 1 písm. a), b), c), d), e), f), g), h), i).</w:t>
      </w:r>
    </w:p>
    <w:p>
      <w:pPr>
        <w:pStyle w:val="BodyTextIndent"/>
        <w:ind w:hanging="0"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"/>
        <w:numPr>
          <w:ilvl w:val="0"/>
          <w:numId w:val="8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Objemný odpad je takový odpad, který vzhledem ke svým rozměrům nemůže být umístěn do sběrných nádob</w:t>
      </w:r>
    </w:p>
    <w:p>
      <w:pPr>
        <w:pStyle w:val="BodyTextIndent"/>
        <w:numPr>
          <w:ilvl w:val="0"/>
          <w:numId w:val="0"/>
        </w:numPr>
        <w:ind w:hanging="0" w:left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Indent"/>
        <w:ind w:hanging="0" w:left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Indent"/>
        <w:ind w:hanging="0" w:left="72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3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Papír, plasty, sklo, kovy, biologické odpady, popel, jedlé oleje a tuky se soustřeďují do </w:t>
      </w:r>
      <w:r>
        <w:rPr>
          <w:rFonts w:cs="Arial" w:ascii="Arial" w:hAnsi="Arial"/>
          <w:bCs/>
          <w:sz w:val="24"/>
          <w:szCs w:val="24"/>
        </w:rPr>
        <w:t>zvláštních sběrných nádob</w:t>
      </w:r>
      <w:r>
        <w:rPr>
          <w:rFonts w:cs="Arial" w:ascii="Arial" w:hAnsi="Arial"/>
          <w:sz w:val="24"/>
          <w:szCs w:val="24"/>
        </w:rPr>
        <w:t>, kterými jsou sběrné nádoby a velkoobjemové kontejnery</w:t>
      </w:r>
      <w:r>
        <w:rPr>
          <w:rFonts w:cs="Arial" w:ascii="Arial" w:hAnsi="Arial"/>
          <w:color w:val="00B0F0"/>
          <w:sz w:val="24"/>
          <w:szCs w:val="24"/>
        </w:rPr>
        <w:t>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lnIMP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Sběrné nádoby na papír,sklo, kovy, jedlé oleje a tuky jsou umístěny vedle budovy OÚ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Sběrné nádoby na  biologický odpad a plasty jsou umístěny vedle budovy OÚ, vedle budovy č.p. 64 a před budovou č.p.2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spacing w:before="0" w:after="0"/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lnIMP"/>
        <w:numPr>
          <w:ilvl w:val="0"/>
          <w:numId w:val="3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true"/>
        <w:spacing w:lineRule="auto" w:line="240"/>
        <w:ind w:hanging="0" w:left="0"/>
        <w:textAlignment w:val="auto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Biologické odpady, barva hnědá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Papír, barva modrá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Kovy, Plasty, PET lahve, barva žlutá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color w:val="000000"/>
          <w:sz w:val="24"/>
          <w:szCs w:val="24"/>
        </w:rPr>
        <w:t>Sklo, barva zelená</w:t>
      </w:r>
    </w:p>
    <w:p>
      <w:pPr>
        <w:pStyle w:val="Normal"/>
        <w:numPr>
          <w:ilvl w:val="0"/>
          <w:numId w:val="9"/>
        </w:numPr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  <w:t>Jedlé oleje a tuky, barva černá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Do zvláštních sběrných nádob je </w:t>
      </w:r>
      <w:r>
        <w:rPr>
          <w:rFonts w:cs="Arial" w:ascii="Arial" w:hAnsi="Arial"/>
          <w:b/>
          <w:bCs/>
          <w:sz w:val="24"/>
          <w:szCs w:val="24"/>
        </w:rPr>
        <w:t>zakázáno</w:t>
      </w:r>
      <w:r>
        <w:rPr>
          <w:rFonts w:cs="Arial" w:ascii="Arial" w:hAnsi="Arial"/>
          <w:sz w:val="24"/>
          <w:szCs w:val="24"/>
        </w:rPr>
        <w:t xml:space="preserve">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hanging="0" w:left="360"/>
        <w:rPr>
          <w:rFonts w:cs="Arial"/>
        </w:rPr>
      </w:pPr>
      <w:r>
        <w:rPr>
          <w:rFonts w:cs="Arial"/>
        </w:rPr>
      </w:r>
    </w:p>
    <w:p>
      <w:pPr>
        <w:pStyle w:val="Default"/>
        <w:ind w:hanging="0" w:left="360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Čl. 4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</w:rPr>
        <w:t>Svoz nebezpečných složek komunálního odpadu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Svoz nebezpečných složek komunálního odpadu je zajišťován </w:t>
      </w:r>
      <w:r>
        <w:rPr>
          <w:rFonts w:cs="Arial" w:ascii="Arial" w:hAnsi="Arial"/>
          <w:iCs/>
          <w:sz w:val="24"/>
          <w:szCs w:val="24"/>
        </w:rPr>
        <w:t>minimálně dvakrát ročně</w:t>
      </w:r>
      <w:r>
        <w:rPr>
          <w:rFonts w:cs="Arial" w:ascii="Arial" w:hAnsi="Arial"/>
          <w:sz w:val="24"/>
          <w:szCs w:val="24"/>
        </w:rPr>
        <w:t xml:space="preserve"> jejich odebíráním na předem vyhlášených přechodných stanovištích přímo do zvláštních sběrných nádob k tomuto sběru určených. Informace o svozu jsou zveřejňovány na úřední desce obce, webových stránkách obce a prostřednictvím obecního rozhlasu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Soustřeďování nebezpečných složek komunálního odpadu podléhá požadavkům stanoveným v čl. 3 odst. 4 a 5.</w:t>
      </w:r>
    </w:p>
    <w:p>
      <w:pPr>
        <w:pStyle w:val="Normal"/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5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Svoz objemného odpadu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Svoz objemného odpadu je zajišťován jednou ročně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Cs/>
          <w:sz w:val="24"/>
          <w:szCs w:val="24"/>
        </w:rPr>
        <w:t>Informace o svozu jsou zveřejňovány na úřední desce obce, webových stránkách obce a prostřednictvím obecního rozhlasu</w:t>
      </w:r>
    </w:p>
    <w:p>
      <w:pPr>
        <w:pStyle w:val="Normal"/>
        <w:jc w:val="both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Soustřeďování objemného odpadu podléhá požadavkům stanoveným v čl. 3 odst. 4 a 5. </w:t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ind w:hanging="0"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6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 w:val="false"/>
        <w:numPr>
          <w:ilvl w:val="0"/>
          <w:numId w:val="1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4"/>
          <w:szCs w:val="24"/>
        </w:rPr>
        <w:t>:</w:t>
      </w:r>
    </w:p>
    <w:p>
      <w:pPr>
        <w:pStyle w:val="Normal"/>
        <w:widowControl w:val="false"/>
        <w:numPr>
          <w:ilvl w:val="0"/>
          <w:numId w:val="0"/>
        </w:numPr>
        <w:ind w:hanging="0" w:left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ind w:firstLine="66"/>
        <w:jc w:val="both"/>
        <w:rPr>
          <w:rFonts w:ascii="Arial" w:hAnsi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popelnice</w:t>
      </w:r>
    </w:p>
    <w:p>
      <w:pPr>
        <w:pStyle w:val="Normal"/>
        <w:numPr>
          <w:ilvl w:val="0"/>
          <w:numId w:val="2"/>
        </w:numPr>
        <w:ind w:firstLine="66"/>
        <w:jc w:val="both"/>
        <w:rPr>
          <w:rFonts w:ascii="Arial" w:hAnsi="Arial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</w:rPr>
        <w:t>igelitové pytle</w:t>
      </w:r>
    </w:p>
    <w:p>
      <w:pPr>
        <w:pStyle w:val="Normal"/>
        <w:ind w:firstLine="6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1"/>
        </w:numPr>
        <w:ind w:hanging="426" w:left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hanging="0" w:left="360"/>
        <w:jc w:val="both"/>
        <w:rPr>
          <w:rFonts w:ascii="Arial" w:hAnsi="Arial"/>
          <w:color w:val="00B0F0"/>
          <w:sz w:val="24"/>
          <w:szCs w:val="24"/>
        </w:rPr>
      </w:pPr>
      <w:r>
        <w:rPr>
          <w:color w:val="00B0F0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7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>Nakládání s movitými věcmi v rámci předcházení vzniku odpadu</w:t>
      </w:r>
    </w:p>
    <w:p>
      <w:pPr>
        <w:pStyle w:val="Heading2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a) knihy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b) funkční elektrozařízení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c) funkční sportovní vybavení</w:t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ind w:hanging="0" w:left="360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cs="Arial" w:ascii="Arial" w:hAnsi="Arial"/>
          <w:color w:val="00B0F0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9" w:leader="none"/>
        </w:tabs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Movité věci uvedené v odst. 1 lze předávat do knihobudky (knihy) před budovou OÚ a nebo přímo do kanceláře OÚ v době úředních hodin</w:t>
      </w:r>
      <w:r>
        <w:rPr>
          <w:rFonts w:cs="Arial" w:ascii="Arial" w:hAnsi="Arial"/>
          <w:color w:val="00B0F0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8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Zrušovací ustanovení</w:t>
      </w:r>
    </w:p>
    <w:p>
      <w:pPr>
        <w:pStyle w:val="Normal"/>
        <w:ind w:hanging="0"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4"/>
          <w:szCs w:val="24"/>
        </w:rPr>
      </w:pPr>
      <w:bookmarkStart w:id="0" w:name="_Hlk54595723"/>
      <w:r>
        <w:rPr>
          <w:rFonts w:cs="Arial" w:ascii="Arial" w:hAnsi="Arial"/>
          <w:sz w:val="24"/>
          <w:szCs w:val="24"/>
        </w:rPr>
        <w:t xml:space="preserve">Zrušuje se obecně závazná vyhláška </w:t>
      </w:r>
      <w:bookmarkEnd w:id="0"/>
      <w:r>
        <w:rPr>
          <w:rFonts w:cs="Arial" w:ascii="Arial" w:hAnsi="Arial"/>
          <w:sz w:val="24"/>
          <w:szCs w:val="24"/>
        </w:rPr>
        <w:t>č. 1</w:t>
      </w:r>
      <w:r>
        <w:rPr>
          <w:rFonts w:cs="Arial" w:ascii="Arial" w:hAnsi="Arial"/>
          <w:i/>
          <w:sz w:val="24"/>
          <w:szCs w:val="24"/>
        </w:rPr>
        <w:t xml:space="preserve">/2021 Obecně závazná vyhláška obce Velká Chmelištná č. 1/2021 o stanovení obecního systému odpadového hospodářství </w:t>
      </w:r>
      <w:r>
        <w:rPr>
          <w:rFonts w:cs="Arial" w:ascii="Arial" w:hAnsi="Arial"/>
          <w:sz w:val="24"/>
          <w:szCs w:val="24"/>
        </w:rPr>
        <w:t>ze dne15.10.2021</w:t>
      </w:r>
    </w:p>
    <w:p>
      <w:pPr>
        <w:pStyle w:val="Normal"/>
        <w:spacing w:lineRule="auto" w:line="288" w:before="12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Čl. 9</w:t>
      </w:r>
    </w:p>
    <w:p>
      <w:pPr>
        <w:pStyle w:val="Nzvylnk"/>
        <w:spacing w:before="0" w:after="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Účinnost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zvylnk"/>
        <w:spacing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Tato vyhláška nabývá účinnosti dnem 1.1.2024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Cs w:val="false"/>
          <w:i/>
          <w:i/>
          <w:color w:val="1A4BD6"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 w:val="24"/>
          <w:szCs w:val="24"/>
        </w:rPr>
      </w:r>
    </w:p>
    <w:p>
      <w:pPr>
        <w:pStyle w:val="Nzvylnk"/>
        <w:spacing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Aleš Kindl v.r.</w:t>
      </w:r>
      <w:r>
        <w:rPr>
          <w:rFonts w:cs="Arial" w:ascii="Arial" w:hAnsi="Arial"/>
          <w:bCs/>
          <w:i/>
          <w:sz w:val="24"/>
          <w:szCs w:val="24"/>
        </w:rPr>
        <w:tab/>
        <w:tab/>
        <w:tab/>
        <w:tab/>
        <w:tab/>
        <w:tab/>
        <w:t xml:space="preserve">          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Alois Uvíra v.r.</w:t>
      </w:r>
    </w:p>
    <w:p>
      <w:pPr>
        <w:pStyle w:val="Normal"/>
        <w:ind w:hanging="0" w:left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………………</w:t>
      </w:r>
      <w:r>
        <w:rPr>
          <w:rFonts w:cs="Arial" w:ascii="Arial" w:hAnsi="Arial"/>
          <w:bCs/>
          <w:sz w:val="24"/>
          <w:szCs w:val="24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i/>
          <w:sz w:val="24"/>
          <w:szCs w:val="24"/>
        </w:rPr>
        <w:t>Aleš Kindl</w:t>
        <w:tab/>
      </w:r>
      <w:r>
        <w:rPr>
          <w:rFonts w:cs="Arial" w:ascii="Arial" w:hAnsi="Arial"/>
          <w:bCs/>
          <w:sz w:val="24"/>
          <w:szCs w:val="24"/>
        </w:rPr>
        <w:tab/>
        <w:tab/>
        <w:tab/>
      </w:r>
      <w:bookmarkStart w:id="1" w:name="_GoBack"/>
      <w:bookmarkEnd w:id="1"/>
      <w:r>
        <w:rPr>
          <w:rFonts w:cs="Arial" w:ascii="Arial" w:hAnsi="Arial"/>
          <w:bCs/>
          <w:sz w:val="24"/>
          <w:szCs w:val="24"/>
        </w:rPr>
        <w:tab/>
        <w:tab/>
        <w:tab/>
        <w:t xml:space="preserve">           </w:t>
      </w:r>
      <w:r>
        <w:rPr>
          <w:rFonts w:cs="Arial" w:ascii="Arial" w:hAnsi="Arial"/>
          <w:bCs/>
          <w:i/>
          <w:sz w:val="24"/>
          <w:szCs w:val="24"/>
        </w:rPr>
        <w:t>Alois Uvíra</w:t>
      </w:r>
    </w:p>
    <w:p>
      <w:pPr>
        <w:pStyle w:val="Normal"/>
        <w:ind w:hanging="0" w:left="708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místostarosta</w:t>
        <w:tab/>
        <w:tab/>
        <w:tab/>
        <w:tab/>
        <w:tab/>
        <w:tab/>
        <w:tab/>
        <w:t>starosta</w:t>
      </w:r>
    </w:p>
    <w:sectPr>
      <w:footerReference w:type="default" r:id="rId3"/>
      <w:footnotePr>
        <w:numFmt w:val="decimal"/>
      </w:footnotePr>
      <w:type w:val="nextPage"/>
      <w:pgSz w:w="11906" w:h="16838"/>
      <w:pgMar w:left="1167" w:right="1039" w:gutter="0" w:header="0" w:top="1050" w:footer="705" w:bottom="19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semiHidden/>
    <w:qFormat/>
    <w:rsid w:val="00ad0d21"/>
    <w:rPr/>
  </w:style>
  <w:style w:type="character" w:styleId="PedmtkomenteChar" w:customStyle="1">
    <w:name w:val="Předmět komentáře Char"/>
    <w:link w:val="Annotationsubject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ind w:firstLine="357" w:lef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lef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left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Title">
    <w:name w:val="Title"/>
    <w:basedOn w:val="Nadpis"/>
    <w:next w:val="BodyText"/>
    <w:qFormat/>
    <w:pPr>
      <w:jc w:val="center"/>
    </w:pPr>
    <w:rPr>
      <w:b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LibreOffice/7.6.1.2$Windows_X86_64 LibreOffice_project/f5defcebd022c5bc36bbb79be232cb6926d8f674</Application>
  <AppVersion>15.0000</AppVersion>
  <Pages>4</Pages>
  <Words>782</Words>
  <Characters>4348</Characters>
  <CharactersWithSpaces>5092</CharactersWithSpaces>
  <Paragraphs>71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2022-05-18T08:41:00Z</dcterms:created>
  <dc:creator>DA210036</dc:creator>
  <dc:description/>
  <dc:language>cs-CZ</dc:language>
  <cp:lastModifiedBy/>
  <cp:lastPrinted>2020-12-03T09:05:00Z</cp:lastPrinted>
  <dcterms:modified xsi:type="dcterms:W3CDTF">2023-09-30T20:59:25Z</dcterms:modified>
  <cp:revision>13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