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Nišovice</w:t>
        <w:br/>
        <w:t>Zastupitelstvo obce Nišovice</w:t>
      </w:r>
    </w:p>
    <w:p>
      <w:pPr>
        <w:pStyle w:val="Heading1"/>
        <w:bidi w:val="0"/>
        <w:ind w:hanging="0" w:start="0"/>
        <w:rPr/>
      </w:pPr>
      <w:r>
        <w:rPr/>
        <w:t>Obecně závazná vyhláška obce Nišovice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Nišovice se na svém zasedání dne 17.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Nišovice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 užívání veřejného prostranství, kterým se rozumí 1383/1,2115,2114,1383/2,68/3,2123,2118,876/12,73/12,73/2,106/1,1362/2,121/2,1872.</w:t>
      </w:r>
    </w:p>
    <w:p>
      <w:pPr>
        <w:pStyle w:val="Heading2"/>
        <w:bidi w:val="0"/>
        <w:ind w:hanging="0" w:start="0"/>
        <w:rPr/>
      </w:pPr>
      <w:r>
        <w:rPr/>
        <w:t>Čl</w:t>
      </w:r>
      <w:r>
        <w:rPr/>
        <w:t>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FootnoteReference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reklamních zařízení 100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stavebních zařízení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skládek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potřeby tvorby filmových a televizních děl 10 Kč.</w:t>
      </w:r>
    </w:p>
    <w:p>
      <w:pPr>
        <w:pStyle w:val="Heading2"/>
        <w:bidi w:val="0"/>
        <w:ind w:hanging="0" w:start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Poplatek je splatný v den ukončení užívání veřejného prostranství.</w:t>
      </w:r>
    </w:p>
    <w:p>
      <w:pPr>
        <w:pStyle w:val="Heading2"/>
        <w:bidi w:val="0"/>
        <w:ind w:hanging="0" w:start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počátkem patnáctého dne následujícího po dni jejího vyhlášení.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Hana Váňová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Karel Bělohlav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LibreOffice/25.8.0.4$Windows_X86_64 LibreOffice_project/48f00303701489684e67c38c28aff00cd5929e67</Application>
  <AppVersion>15.0000</AppVersion>
  <Pages>3</Pages>
  <Words>511</Words>
  <Characters>2925</Characters>
  <CharactersWithSpaces>3374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2025-09-03T16:02:36Z</cp:lastPrinted>
  <dcterms:modified xsi:type="dcterms:W3CDTF">2025-09-03T15:52:48Z</dcterms:modified>
  <cp:revision>1</cp:revision>
  <dc:subject/>
  <dc:title/>
</cp:coreProperties>
</file>