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7D" w:rsidRPr="005662E8" w:rsidRDefault="003F1E7D">
      <w:pPr>
        <w:ind w:right="18"/>
        <w:jc w:val="center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s1026" type="#_x0000_t75" style="position:absolute;left:0;text-align:left;margin-left:69.25pt;margin-top:55.4pt;width:456.25pt;height:65.1pt;z-index:-251658240;visibility:visible;mso-wrap-distance-left:0;mso-wrap-distance-right:0;mso-position-horizontal-relative:page;mso-position-vertical-relative:page">
            <v:imagedata r:id="rId7" o:title=""/>
            <w10:wrap anchorx="page" anchory="page"/>
          </v:shape>
        </w:pict>
      </w:r>
      <w:r w:rsidRPr="005662E8">
        <w:rPr>
          <w:rFonts w:ascii="Arial" w:hAnsi="Arial" w:cs="Arial"/>
          <w:b/>
          <w:sz w:val="31"/>
          <w:szCs w:val="31"/>
        </w:rPr>
        <w:t>Měst</w:t>
      </w:r>
      <w:r>
        <w:rPr>
          <w:rFonts w:ascii="Arial" w:hAnsi="Arial" w:cs="Arial"/>
          <w:b/>
          <w:sz w:val="31"/>
          <w:szCs w:val="31"/>
        </w:rPr>
        <w:t xml:space="preserve">o </w:t>
      </w:r>
      <w:r w:rsidRPr="005662E8">
        <w:rPr>
          <w:rFonts w:ascii="Arial" w:hAnsi="Arial" w:cs="Arial"/>
          <w:b/>
          <w:sz w:val="31"/>
          <w:szCs w:val="31"/>
        </w:rPr>
        <w:t>Vrchlabí</w:t>
      </w:r>
    </w:p>
    <w:p w:rsidR="003F1E7D" w:rsidRPr="005662E8" w:rsidRDefault="003F1E7D">
      <w:pPr>
        <w:spacing w:line="26" w:lineRule="auto"/>
        <w:rPr>
          <w:sz w:val="24"/>
          <w:szCs w:val="24"/>
        </w:rPr>
      </w:pPr>
    </w:p>
    <w:p w:rsidR="003F1E7D" w:rsidRPr="005662E8" w:rsidRDefault="003F1E7D" w:rsidP="00C113EE">
      <w:pPr>
        <w:jc w:val="center"/>
        <w:rPr>
          <w:sz w:val="20"/>
          <w:szCs w:val="20"/>
        </w:rPr>
      </w:pPr>
      <w:r w:rsidRPr="005662E8">
        <w:rPr>
          <w:rFonts w:ascii="Arial" w:hAnsi="Arial" w:cs="Arial"/>
          <w:b/>
        </w:rPr>
        <w:t>Zastupitelstvo města</w:t>
      </w:r>
    </w:p>
    <w:p w:rsidR="003F1E7D" w:rsidRPr="005662E8" w:rsidRDefault="003F1E7D" w:rsidP="00C113EE">
      <w:pPr>
        <w:jc w:val="center"/>
        <w:rPr>
          <w:sz w:val="20"/>
          <w:szCs w:val="20"/>
        </w:rPr>
      </w:pPr>
      <w:r w:rsidRPr="005662E8">
        <w:rPr>
          <w:rFonts w:ascii="Arial" w:hAnsi="Arial" w:cs="Arial"/>
          <w:b/>
        </w:rPr>
        <w:t>Zámek 1, 543 01 Vrchlabí</w:t>
      </w:r>
    </w:p>
    <w:p w:rsidR="003F1E7D" w:rsidRPr="005662E8" w:rsidRDefault="003F1E7D">
      <w:pPr>
        <w:spacing w:before="1440"/>
        <w:jc w:val="center"/>
        <w:rPr>
          <w:sz w:val="20"/>
          <w:szCs w:val="20"/>
        </w:rPr>
      </w:pPr>
      <w:r w:rsidRPr="005662E8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BECNĚ ZÁVAZNÁ VYHLÁŠKA </w:t>
      </w:r>
      <w:bookmarkStart w:id="0" w:name="_GoBack"/>
      <w:bookmarkEnd w:id="0"/>
    </w:p>
    <w:p w:rsidR="003F1E7D" w:rsidRPr="005662E8" w:rsidRDefault="003F1E7D">
      <w:pPr>
        <w:spacing w:before="240"/>
        <w:ind w:right="17"/>
        <w:jc w:val="center"/>
        <w:rPr>
          <w:sz w:val="20"/>
          <w:szCs w:val="20"/>
        </w:rPr>
      </w:pPr>
      <w:r w:rsidRPr="005662E8">
        <w:rPr>
          <w:rFonts w:ascii="Arial" w:hAnsi="Arial" w:cs="Arial"/>
          <w:b/>
          <w:sz w:val="28"/>
          <w:szCs w:val="28"/>
        </w:rPr>
        <w:t>POŽÁRNÍ ŘÁD MĚSTA VRCHLABÍ</w:t>
      </w:r>
    </w:p>
    <w:p w:rsidR="003F1E7D" w:rsidRPr="005662E8" w:rsidRDefault="003F1E7D">
      <w:pPr>
        <w:spacing w:line="260" w:lineRule="auto"/>
        <w:rPr>
          <w:sz w:val="24"/>
          <w:szCs w:val="24"/>
        </w:rPr>
      </w:pPr>
    </w:p>
    <w:p w:rsidR="003F1E7D" w:rsidRPr="005662E8" w:rsidRDefault="003F1E7D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Zastupitelstvo města Vrchlabí se na svém zasedání konaném </w:t>
      </w:r>
      <w:r>
        <w:rPr>
          <w:rFonts w:ascii="Arial" w:hAnsi="Arial" w:cs="Arial"/>
          <w:sz w:val="20"/>
          <w:szCs w:val="20"/>
        </w:rPr>
        <w:t>dne 7</w:t>
      </w:r>
      <w:r w:rsidRPr="005662E8">
        <w:rPr>
          <w:rFonts w:ascii="Arial" w:hAnsi="Arial" w:cs="Arial"/>
          <w:sz w:val="20"/>
          <w:szCs w:val="20"/>
        </w:rPr>
        <w:t>. června 202</w:t>
      </w:r>
      <w:r>
        <w:rPr>
          <w:rFonts w:ascii="Arial" w:hAnsi="Arial" w:cs="Arial"/>
          <w:sz w:val="20"/>
          <w:szCs w:val="20"/>
        </w:rPr>
        <w:t>3</w:t>
      </w:r>
      <w:r w:rsidRPr="005662E8">
        <w:rPr>
          <w:rFonts w:ascii="Arial" w:hAnsi="Arial" w:cs="Arial"/>
          <w:sz w:val="20"/>
          <w:szCs w:val="20"/>
        </w:rPr>
        <w:t xml:space="preserve"> usneslo vydat v souladu s ustanovením § 10 písm. d) a § 84 odst. 2 písm. h) zákona č. 128/2000 Sb., o obcích (obecní zřízení), ve znění pozdějších předpisů a na základě ustanovení § 29 odst. 1 písm. o) zákona č. 133/1985 Sb., o požární ochraně ve znění pozdějších předpisů, tuto obecně závaznou vyhlášku (dále jen „vyhláška“):</w:t>
      </w:r>
    </w:p>
    <w:p w:rsidR="003F1E7D" w:rsidRPr="005662E8" w:rsidRDefault="003F1E7D">
      <w:pPr>
        <w:spacing w:line="252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b/>
          <w:sz w:val="20"/>
          <w:szCs w:val="20"/>
        </w:rPr>
        <w:t>Čl. 1</w:t>
      </w:r>
    </w:p>
    <w:p w:rsidR="003F1E7D" w:rsidRPr="005662E8" w:rsidRDefault="003F1E7D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b/>
          <w:sz w:val="20"/>
          <w:szCs w:val="20"/>
        </w:rPr>
        <w:t>Základní ustanovení</w:t>
      </w:r>
    </w:p>
    <w:p w:rsidR="003F1E7D" w:rsidRPr="005662E8" w:rsidRDefault="003F1E7D">
      <w:pPr>
        <w:spacing w:line="252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Požární řád města Vrchlabí upravuje organizaci a zásady zabezpečení požární ochrany ve městě Vrchlabí (dále jen „město“).</w:t>
      </w:r>
    </w:p>
    <w:p w:rsidR="003F1E7D" w:rsidRPr="005662E8" w:rsidRDefault="003F1E7D">
      <w:pPr>
        <w:spacing w:line="252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b/>
          <w:sz w:val="20"/>
          <w:szCs w:val="20"/>
        </w:rPr>
        <w:t>Čl. 2</w:t>
      </w:r>
    </w:p>
    <w:p w:rsidR="003F1E7D" w:rsidRPr="005662E8" w:rsidRDefault="003F1E7D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b/>
          <w:sz w:val="20"/>
          <w:szCs w:val="20"/>
        </w:rPr>
        <w:t>Vymezení činnosti osob pověřených zabezpečováním požární ochrany ve městě</w:t>
      </w:r>
    </w:p>
    <w:p w:rsidR="003F1E7D" w:rsidRPr="005662E8" w:rsidRDefault="003F1E7D">
      <w:pPr>
        <w:spacing w:line="252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numPr>
          <w:ilvl w:val="0"/>
          <w:numId w:val="1"/>
        </w:numPr>
        <w:tabs>
          <w:tab w:val="left" w:pos="700"/>
        </w:tabs>
        <w:spacing w:after="240" w:line="252" w:lineRule="auto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Ochranu životů, zdraví a majetku občanů před požáry, živelními pohromami a jinými mimořádnými událostmi na území města zabezpečují jednotky sboru dobrovolných hasičů města (dále jen „JSDH“) a jednotky požární ochrany uvedené v článku 5 této vyhlášky. </w:t>
      </w:r>
    </w:p>
    <w:p w:rsidR="003F1E7D" w:rsidRPr="005662E8" w:rsidRDefault="003F1E7D">
      <w:pPr>
        <w:numPr>
          <w:ilvl w:val="0"/>
          <w:numId w:val="1"/>
        </w:numPr>
        <w:tabs>
          <w:tab w:val="left" w:pos="700"/>
        </w:tabs>
        <w:spacing w:after="240" w:line="252" w:lineRule="auto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K zabezpečení úkolů na úseku požární ochrany byly na základě usnesení zastupitelstva města pověřeny tyto orgány města:</w:t>
      </w:r>
    </w:p>
    <w:p w:rsidR="003F1E7D" w:rsidRPr="005662E8" w:rsidRDefault="003F1E7D">
      <w:pPr>
        <w:numPr>
          <w:ilvl w:val="1"/>
          <w:numId w:val="1"/>
        </w:numPr>
        <w:tabs>
          <w:tab w:val="left" w:pos="1420"/>
        </w:tabs>
        <w:spacing w:after="120" w:line="252" w:lineRule="auto"/>
        <w:ind w:left="14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rada města – projednáním stavu požární ochrany ve městě minimálně 1x za 12 měsíců nebo vždy po závažné mimořádné události mající vztah k zajištění požární ochrany ve městě,</w:t>
      </w:r>
    </w:p>
    <w:p w:rsidR="003F1E7D" w:rsidRPr="005662E8" w:rsidRDefault="003F1E7D">
      <w:pPr>
        <w:numPr>
          <w:ilvl w:val="1"/>
          <w:numId w:val="1"/>
        </w:numPr>
        <w:tabs>
          <w:tab w:val="left" w:pos="1420"/>
        </w:tabs>
        <w:spacing w:after="240" w:line="252" w:lineRule="auto"/>
        <w:ind w:left="14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starosta – zabezpečováním pravidelných kontrol dodržování předpisů a plnění povinností města na úseku požární ochrany vyplývajících z její samostatné působnosti, a to minimálně 1x za 12 měsíců.</w:t>
      </w:r>
    </w:p>
    <w:p w:rsidR="003F1E7D" w:rsidRPr="005662E8" w:rsidRDefault="003F1E7D" w:rsidP="00DD56BE">
      <w:pPr>
        <w:numPr>
          <w:ilvl w:val="0"/>
          <w:numId w:val="1"/>
        </w:numPr>
        <w:tabs>
          <w:tab w:val="left" w:pos="700"/>
        </w:tabs>
        <w:spacing w:after="240" w:line="252" w:lineRule="auto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Zabezpečením dalších úkolů na úseku požární ochrany starosta města pověřuje na základě smlouvy odborně způsobilou osobu, která vykonává monitoring úrovně požární ochrany ve městě, a předkládá zprávu starostovi minimálně 1x za 12 měsíců. Oprávnění osob pověřených plněním úkolů na úseku požární ochrany (dále jen „PO“) jsou uvedeny ve zvláštním právním předpise</w:t>
      </w:r>
      <w:r w:rsidRPr="005662E8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3F1E7D" w:rsidRPr="005662E8" w:rsidRDefault="003F1E7D" w:rsidP="00DD56BE">
      <w:pPr>
        <w:tabs>
          <w:tab w:val="left" w:pos="1420"/>
        </w:tabs>
        <w:spacing w:after="240" w:line="252" w:lineRule="auto"/>
        <w:jc w:val="both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spacing w:before="480"/>
        <w:rPr>
          <w:rFonts w:ascii="Arial" w:hAnsi="Arial" w:cs="Arial"/>
          <w:color w:val="000000"/>
          <w:sz w:val="18"/>
          <w:szCs w:val="18"/>
        </w:rPr>
      </w:pPr>
      <w:r w:rsidRPr="005662E8"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 w:rsidRPr="005662E8">
        <w:rPr>
          <w:rFonts w:ascii="Arial" w:hAnsi="Arial" w:cs="Arial"/>
          <w:color w:val="000000"/>
          <w:sz w:val="18"/>
          <w:szCs w:val="18"/>
        </w:rPr>
        <w:t xml:space="preserve"> § 88 zákona č. 133/1985 Sb., o požární ochraně ve znění pozdějších předpisů (dále jen „zákon o požární ochraně“)</w:t>
      </w:r>
      <w:r>
        <w:rPr>
          <w:noProof/>
        </w:rPr>
        <w:pict>
          <v:shape id="image6.png" o:spid="_x0000_s1027" type="#_x0000_t75" style="position:absolute;margin-left:9pt;margin-top:0;width:0;height:1pt;z-index:251659264;visibility:visible;mso-position-horizontal-relative:text;mso-position-vertical-relative:text">
            <v:imagedata r:id="rId8" o:title=""/>
          </v:shape>
        </w:pict>
      </w:r>
    </w:p>
    <w:p w:rsidR="003F1E7D" w:rsidRPr="005662E8" w:rsidRDefault="003F1E7D">
      <w:pPr>
        <w:rPr>
          <w:rFonts w:ascii="Arial" w:hAnsi="Arial" w:cs="Arial"/>
        </w:rPr>
      </w:pPr>
      <w:r w:rsidRPr="005662E8">
        <w:br w:type="page"/>
      </w:r>
    </w:p>
    <w:p w:rsidR="003F1E7D" w:rsidRPr="005662E8" w:rsidRDefault="003F1E7D">
      <w:pPr>
        <w:spacing w:line="252" w:lineRule="auto"/>
        <w:jc w:val="center"/>
        <w:rPr>
          <w:rFonts w:ascii="Arial" w:hAnsi="Arial" w:cs="Arial"/>
        </w:rPr>
      </w:pPr>
      <w:r w:rsidRPr="005662E8">
        <w:rPr>
          <w:rFonts w:ascii="Arial" w:hAnsi="Arial" w:cs="Arial"/>
          <w:b/>
        </w:rPr>
        <w:t>Čl. 3</w:t>
      </w:r>
    </w:p>
    <w:p w:rsidR="003F1E7D" w:rsidRPr="005662E8" w:rsidRDefault="003F1E7D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b/>
          <w:sz w:val="20"/>
          <w:szCs w:val="20"/>
        </w:rPr>
        <w:t>Podmínky požární bezpečnosti při činnostech a v objektech se zvýšeným nebezpečím požáru, v budovách zvláštního významu a v době zvýšeného nebezpečí vzniku požáru</w:t>
      </w:r>
    </w:p>
    <w:p w:rsidR="003F1E7D" w:rsidRPr="005662E8" w:rsidRDefault="003F1E7D">
      <w:pPr>
        <w:spacing w:line="252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numPr>
          <w:ilvl w:val="0"/>
          <w:numId w:val="4"/>
        </w:numPr>
        <w:tabs>
          <w:tab w:val="left" w:pos="700"/>
        </w:tabs>
        <w:spacing w:after="24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Za činnosti, při kterých hrozí zvýšené nebezpečí vzniku požáru, se se zřetelem na místní podmínky považují veřejnosti přístupné kulturní, společenské, sportovní, zábavní, politické, obchodní, náboženské a jiné obdobné akce místního významu, kterých se zúčastňuje větší počet osob, například </w:t>
      </w:r>
      <w:r>
        <w:rPr>
          <w:rFonts w:ascii="Arial" w:hAnsi="Arial" w:cs="Arial"/>
          <w:sz w:val="20"/>
          <w:szCs w:val="20"/>
        </w:rPr>
        <w:t xml:space="preserve">poutě, </w:t>
      </w:r>
      <w:r w:rsidRPr="005662E8">
        <w:rPr>
          <w:rFonts w:ascii="Arial" w:hAnsi="Arial" w:cs="Arial"/>
          <w:sz w:val="20"/>
          <w:szCs w:val="20"/>
        </w:rPr>
        <w:t>jarmark</w:t>
      </w:r>
      <w:r>
        <w:rPr>
          <w:rFonts w:ascii="Arial" w:hAnsi="Arial" w:cs="Arial"/>
          <w:sz w:val="20"/>
          <w:szCs w:val="20"/>
        </w:rPr>
        <w:t>y</w:t>
      </w:r>
      <w:r w:rsidRPr="005662E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pivní </w:t>
      </w:r>
      <w:r w:rsidRPr="005662E8">
        <w:rPr>
          <w:rFonts w:ascii="Arial" w:hAnsi="Arial" w:cs="Arial"/>
          <w:sz w:val="20"/>
          <w:szCs w:val="20"/>
        </w:rPr>
        <w:t>slavnosti</w:t>
      </w:r>
      <w:r>
        <w:rPr>
          <w:rFonts w:ascii="Arial" w:hAnsi="Arial" w:cs="Arial"/>
          <w:sz w:val="20"/>
          <w:szCs w:val="20"/>
        </w:rPr>
        <w:t>, festivaly</w:t>
      </w:r>
      <w:r w:rsidRPr="005662E8">
        <w:rPr>
          <w:rFonts w:ascii="Arial" w:hAnsi="Arial" w:cs="Arial"/>
          <w:sz w:val="20"/>
          <w:szCs w:val="20"/>
        </w:rPr>
        <w:t>, akce typu „ohňová show“, „pálení čarodějnic“, ohňostroje</w:t>
      </w:r>
      <w:r>
        <w:rPr>
          <w:rFonts w:ascii="Arial" w:hAnsi="Arial" w:cs="Arial"/>
          <w:sz w:val="20"/>
          <w:szCs w:val="20"/>
        </w:rPr>
        <w:t xml:space="preserve"> </w:t>
      </w:r>
      <w:r w:rsidRPr="005662E8">
        <w:rPr>
          <w:rFonts w:ascii="Arial" w:hAnsi="Arial" w:cs="Arial"/>
          <w:sz w:val="20"/>
          <w:szCs w:val="20"/>
        </w:rPr>
        <w:t>apod. Organizátor těchto akcí je povinen při zabezpečení požární ochrany dodržet podmínky stanovené nařízením kraje</w:t>
      </w:r>
      <w:r w:rsidRPr="005662E8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  <w:r w:rsidRPr="005662E8">
        <w:rPr>
          <w:rFonts w:ascii="Arial" w:hAnsi="Arial" w:cs="Arial"/>
          <w:sz w:val="20"/>
          <w:szCs w:val="20"/>
        </w:rPr>
        <w:t xml:space="preserve"> Akcí s účastí většího počtu osob se rozumí mimo jiné:</w:t>
      </w:r>
    </w:p>
    <w:p w:rsidR="003F1E7D" w:rsidRPr="005662E8" w:rsidRDefault="003F1E7D">
      <w:pPr>
        <w:numPr>
          <w:ilvl w:val="0"/>
          <w:numId w:val="3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akce ve vnitřním shromažďovacím prostoru (stavbě) u něhož z dokumentace ověřené stavebním úřadem nebo z kolaudačního souhlasu vyplývá počet osob, pro které je prostor určen ve smyslu ČSN 73 0831, například Kulturní dům Střelnice, zimní stadion</w:t>
      </w:r>
      <w:r>
        <w:rPr>
          <w:rFonts w:ascii="Arial" w:hAnsi="Arial" w:cs="Arial"/>
          <w:sz w:val="20"/>
          <w:szCs w:val="20"/>
        </w:rPr>
        <w:t>,</w:t>
      </w:r>
    </w:p>
    <w:p w:rsidR="003F1E7D" w:rsidRPr="005662E8" w:rsidRDefault="003F1E7D">
      <w:pPr>
        <w:numPr>
          <w:ilvl w:val="0"/>
          <w:numId w:val="3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akce ve vnitřním shromažďovacím prostoru, u něhož z kolaudačního souhlasu nevyplývá počet osob, pro které je prostor určen, nebo u něhož kolaudační souhlas není k dispozici, a počet účastníků činí </w:t>
      </w:r>
      <w:smartTag w:uri="urn:schemas-microsoft-com:office:smarttags" w:element="metricconverter">
        <w:smartTagPr>
          <w:attr w:name="ProductID" w:val="200 a"/>
        </w:smartTagPr>
        <w:r w:rsidRPr="005662E8">
          <w:rPr>
            <w:rFonts w:ascii="Arial" w:hAnsi="Arial" w:cs="Arial"/>
            <w:sz w:val="20"/>
            <w:szCs w:val="20"/>
          </w:rPr>
          <w:t>200 a</w:t>
        </w:r>
      </w:smartTag>
      <w:r w:rsidRPr="005662E8">
        <w:rPr>
          <w:rFonts w:ascii="Arial" w:hAnsi="Arial" w:cs="Arial"/>
          <w:sz w:val="20"/>
          <w:szCs w:val="20"/>
        </w:rPr>
        <w:t xml:space="preserve"> více osob, například děkanský kostel sv. Vavřince, klášterní kostel sv. Augustina</w:t>
      </w:r>
      <w:r>
        <w:rPr>
          <w:rFonts w:ascii="Arial" w:hAnsi="Arial" w:cs="Arial"/>
          <w:sz w:val="20"/>
          <w:szCs w:val="20"/>
        </w:rPr>
        <w:t>,</w:t>
      </w:r>
    </w:p>
    <w:p w:rsidR="003F1E7D" w:rsidRPr="005662E8" w:rsidRDefault="003F1E7D">
      <w:pPr>
        <w:numPr>
          <w:ilvl w:val="0"/>
          <w:numId w:val="3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akce ve vnitřním prostoru, pokud součástí akce jsou požárně nebezpečné činnosti (používání otevřeného ohně, pyrotechnických efektů, ohňostrojů apod.), u kterých se předpokládá účast </w:t>
      </w:r>
      <w:smartTag w:uri="urn:schemas-microsoft-com:office:smarttags" w:element="metricconverter">
        <w:smartTagPr>
          <w:attr w:name="ProductID" w:val="50 a"/>
        </w:smartTagPr>
        <w:r w:rsidRPr="005662E8">
          <w:rPr>
            <w:rFonts w:ascii="Arial" w:hAnsi="Arial" w:cs="Arial"/>
            <w:sz w:val="20"/>
            <w:szCs w:val="20"/>
          </w:rPr>
          <w:t>50 a</w:t>
        </w:r>
      </w:smartTag>
      <w:r w:rsidRPr="005662E8">
        <w:rPr>
          <w:rFonts w:ascii="Arial" w:hAnsi="Arial" w:cs="Arial"/>
          <w:sz w:val="20"/>
          <w:szCs w:val="20"/>
        </w:rPr>
        <w:t xml:space="preserve"> více osob, například divadelní a estrádní představení v kulturním domě, tanečních klubech a diskotékách, lampionové průvody, kostely apod,</w:t>
      </w:r>
    </w:p>
    <w:p w:rsidR="003F1E7D" w:rsidRPr="005662E8" w:rsidRDefault="003F1E7D">
      <w:pPr>
        <w:numPr>
          <w:ilvl w:val="0"/>
          <w:numId w:val="3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akce ve venkovním shromažďovacím prostoru určeném pro více než 500 osob, u kterých se předpokládá účast </w:t>
      </w:r>
      <w:smartTag w:uri="urn:schemas-microsoft-com:office:smarttags" w:element="metricconverter">
        <w:smartTagPr>
          <w:attr w:name="ProductID" w:val="500 a"/>
        </w:smartTagPr>
        <w:r w:rsidRPr="005662E8">
          <w:rPr>
            <w:rFonts w:ascii="Arial" w:hAnsi="Arial" w:cs="Arial"/>
            <w:sz w:val="20"/>
            <w:szCs w:val="20"/>
          </w:rPr>
          <w:t>500 a</w:t>
        </w:r>
      </w:smartTag>
      <w:r w:rsidRPr="005662E8">
        <w:rPr>
          <w:rFonts w:ascii="Arial" w:hAnsi="Arial" w:cs="Arial"/>
          <w:sz w:val="20"/>
          <w:szCs w:val="20"/>
        </w:rPr>
        <w:t xml:space="preserve"> více osob, například sportovní akce na letním </w:t>
      </w:r>
      <w:r>
        <w:rPr>
          <w:rFonts w:ascii="Arial" w:hAnsi="Arial" w:cs="Arial"/>
          <w:sz w:val="20"/>
          <w:szCs w:val="20"/>
        </w:rPr>
        <w:t xml:space="preserve">stadionu nebo </w:t>
      </w:r>
      <w:r w:rsidRPr="005662E8">
        <w:rPr>
          <w:rFonts w:ascii="Arial" w:hAnsi="Arial" w:cs="Arial"/>
          <w:sz w:val="20"/>
          <w:szCs w:val="20"/>
        </w:rPr>
        <w:t>v areálu letního kina</w:t>
      </w:r>
      <w:r>
        <w:rPr>
          <w:rFonts w:ascii="Arial" w:hAnsi="Arial" w:cs="Arial"/>
          <w:sz w:val="20"/>
          <w:szCs w:val="20"/>
        </w:rPr>
        <w:t>,</w:t>
      </w:r>
    </w:p>
    <w:p w:rsidR="003F1E7D" w:rsidRPr="005662E8" w:rsidRDefault="003F1E7D">
      <w:pPr>
        <w:numPr>
          <w:ilvl w:val="0"/>
          <w:numId w:val="3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akce na veřejném prostranství i mimo ně pod širým nebem, u kterých se předpokládá účast </w:t>
      </w:r>
      <w:smartTag w:uri="urn:schemas-microsoft-com:office:smarttags" w:element="metricconverter">
        <w:smartTagPr>
          <w:attr w:name="ProductID" w:val="900 a"/>
        </w:smartTagPr>
        <w:r w:rsidRPr="005662E8">
          <w:rPr>
            <w:rFonts w:ascii="Arial" w:hAnsi="Arial" w:cs="Arial"/>
            <w:sz w:val="20"/>
            <w:szCs w:val="20"/>
          </w:rPr>
          <w:t>900 a</w:t>
        </w:r>
      </w:smartTag>
      <w:r w:rsidRPr="005662E8">
        <w:rPr>
          <w:rFonts w:ascii="Arial" w:hAnsi="Arial" w:cs="Arial"/>
          <w:sz w:val="20"/>
          <w:szCs w:val="20"/>
        </w:rPr>
        <w:t xml:space="preserve"> vice osob, například hartecká pouť, pivní slavnosti</w:t>
      </w:r>
      <w:r>
        <w:rPr>
          <w:rFonts w:ascii="Arial" w:hAnsi="Arial" w:cs="Arial"/>
          <w:sz w:val="20"/>
          <w:szCs w:val="20"/>
        </w:rPr>
        <w:t>, koncerty,</w:t>
      </w:r>
    </w:p>
    <w:p w:rsidR="003F1E7D" w:rsidRPr="005662E8" w:rsidRDefault="003F1E7D">
      <w:pPr>
        <w:numPr>
          <w:ilvl w:val="0"/>
          <w:numId w:val="3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akce, pokud tak stanoví její organizátor, a to na základě vyhodnocení požárního nebezpečí (zejména z hlediska umístění nebo stavebního provedeni objektu, únikových cest a struktury účastníků akce – osoby s omezenou schopnosti pohybu nebo orientace), např. akce v uzavřených prostorách, kterých se účastní děti mladší tří let v doprovodu rodičů, akce pro tělesně postižené osoby, činnost ve školkách, které navštěvují děti mladší 3 let.</w:t>
      </w:r>
    </w:p>
    <w:p w:rsidR="003F1E7D" w:rsidRPr="005662E8" w:rsidRDefault="003F1E7D">
      <w:pPr>
        <w:tabs>
          <w:tab w:val="left" w:pos="700"/>
        </w:tabs>
        <w:ind w:left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V případě, že organizátor akce má povinnost zřídit preventivní požární hlídku, mohou tuto tvořit z důvodů znalosti místních podmínek členové JSDH té části města, ve které se akce koná.</w:t>
      </w:r>
    </w:p>
    <w:p w:rsidR="003F1E7D" w:rsidRPr="005662E8" w:rsidRDefault="003F1E7D">
      <w:pPr>
        <w:tabs>
          <w:tab w:val="left" w:pos="700"/>
        </w:tabs>
        <w:jc w:val="both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numPr>
          <w:ilvl w:val="0"/>
          <w:numId w:val="4"/>
        </w:numPr>
        <w:tabs>
          <w:tab w:val="left" w:pos="700"/>
        </w:tabs>
        <w:spacing w:after="24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Za objekty se zvýšeným nebezpečím vzniku požáru se považují všechny objekty, ve kterých se provozují činnosti se zvýšeným a vysokým požárním nebezpečím definov</w:t>
      </w:r>
      <w:r>
        <w:rPr>
          <w:rFonts w:ascii="Arial" w:hAnsi="Arial" w:cs="Arial"/>
          <w:sz w:val="20"/>
          <w:szCs w:val="20"/>
        </w:rPr>
        <w:t>ané zvláštním právním předpisem</w:t>
      </w:r>
      <w:r w:rsidRPr="005662E8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5662E8">
        <w:rPr>
          <w:rFonts w:ascii="Arial" w:hAnsi="Arial" w:cs="Arial"/>
          <w:sz w:val="20"/>
          <w:szCs w:val="20"/>
        </w:rPr>
        <w:t xml:space="preserve"> Podmínky k zabezpečení požární ochrany stanovuje dokumentace požární ochrany zpracovaná pro činnosti provozované v těchto objektech.</w:t>
      </w:r>
    </w:p>
    <w:p w:rsidR="003F1E7D" w:rsidRPr="005662E8" w:rsidRDefault="003F1E7D">
      <w:pPr>
        <w:numPr>
          <w:ilvl w:val="0"/>
          <w:numId w:val="4"/>
        </w:numPr>
        <w:tabs>
          <w:tab w:val="left" w:pos="700"/>
        </w:tabs>
        <w:spacing w:after="24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Podmínky k zabezpečení požární ochrany v budovách zvláštního významu</w:t>
      </w:r>
      <w:r>
        <w:rPr>
          <w:rFonts w:ascii="Arial" w:hAnsi="Arial" w:cs="Arial"/>
          <w:sz w:val="20"/>
          <w:szCs w:val="20"/>
        </w:rPr>
        <w:t xml:space="preserve"> jsou stanoveny nařízením kraje</w:t>
      </w:r>
      <w:r w:rsidRPr="005662E8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:rsidR="003F1E7D" w:rsidRPr="005662E8" w:rsidRDefault="003F1E7D">
      <w:pPr>
        <w:numPr>
          <w:ilvl w:val="0"/>
          <w:numId w:val="4"/>
        </w:numPr>
        <w:tabs>
          <w:tab w:val="left" w:pos="700"/>
        </w:tabs>
        <w:spacing w:after="240"/>
        <w:ind w:left="697" w:hanging="697"/>
        <w:jc w:val="both"/>
        <w:rPr>
          <w:rFonts w:ascii="Arial" w:hAnsi="Arial" w:cs="Arial"/>
          <w:sz w:val="20"/>
          <w:szCs w:val="20"/>
          <w:vertAlign w:val="superscript"/>
        </w:rPr>
      </w:pPr>
      <w:r w:rsidRPr="005662E8">
        <w:rPr>
          <w:rFonts w:ascii="Arial" w:hAnsi="Arial" w:cs="Arial"/>
          <w:sz w:val="20"/>
          <w:szCs w:val="20"/>
        </w:rPr>
        <w:t>Podmínky k zabezpečení požární ochrany v době zvýšeného nebezpečí vzniku požáru jsou stanoveny vyhláškou a nařízením kraje</w:t>
      </w:r>
      <w:r w:rsidRPr="005662E8"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noProof/>
        </w:rPr>
        <w:pict>
          <v:shape id="image7.png" o:spid="_x0000_s1028" type="#_x0000_t75" style="position:absolute;left:0;text-align:left;margin-left:9pt;margin-top:0;width:0;height:1pt;z-index:251660288;visibility:visible;mso-position-horizontal-relative:text;mso-position-vertical-relative:text">
            <v:imagedata r:id="rId9" o:title=""/>
          </v:shape>
        </w:pict>
      </w:r>
      <w:r>
        <w:rPr>
          <w:rFonts w:ascii="Arial" w:hAnsi="Arial" w:cs="Arial"/>
          <w:sz w:val="20"/>
          <w:szCs w:val="20"/>
        </w:rPr>
        <w:t>.</w:t>
      </w:r>
    </w:p>
    <w:p w:rsidR="003F1E7D" w:rsidRPr="005662E8" w:rsidRDefault="003F1E7D">
      <w:pPr>
        <w:spacing w:before="240"/>
        <w:rPr>
          <w:rFonts w:ascii="Arial" w:hAnsi="Arial" w:cs="Arial"/>
          <w:sz w:val="18"/>
          <w:szCs w:val="18"/>
        </w:rPr>
      </w:pPr>
      <w:r w:rsidRPr="005662E8">
        <w:rPr>
          <w:rFonts w:ascii="Arial" w:hAnsi="Arial" w:cs="Arial"/>
          <w:sz w:val="18"/>
          <w:szCs w:val="18"/>
          <w:vertAlign w:val="superscript"/>
        </w:rPr>
        <w:t>2</w:t>
      </w:r>
      <w:r w:rsidRPr="005662E8">
        <w:rPr>
          <w:rFonts w:ascii="Arial" w:hAnsi="Arial" w:cs="Arial"/>
          <w:sz w:val="18"/>
          <w:szCs w:val="18"/>
        </w:rPr>
        <w:t xml:space="preserve"> Nařízení Královéhradeckého kraje 4/2002 , kterým se stanoví podmínky k zabezpečení požární ochrany při akcích, kterých se zúčastňuje větší počet osob</w:t>
      </w:r>
    </w:p>
    <w:p w:rsidR="003F1E7D" w:rsidRPr="005662E8" w:rsidRDefault="003F1E7D">
      <w:pPr>
        <w:spacing w:before="240"/>
        <w:rPr>
          <w:rFonts w:ascii="Arial" w:hAnsi="Arial" w:cs="Arial"/>
          <w:sz w:val="18"/>
          <w:szCs w:val="18"/>
        </w:rPr>
      </w:pPr>
      <w:r w:rsidRPr="005662E8">
        <w:rPr>
          <w:rFonts w:ascii="Arial" w:hAnsi="Arial" w:cs="Arial"/>
          <w:sz w:val="18"/>
          <w:szCs w:val="18"/>
          <w:vertAlign w:val="superscript"/>
        </w:rPr>
        <w:t>3</w:t>
      </w:r>
      <w:r w:rsidRPr="005662E8">
        <w:rPr>
          <w:rFonts w:ascii="Arial" w:hAnsi="Arial" w:cs="Arial"/>
          <w:sz w:val="18"/>
          <w:szCs w:val="18"/>
        </w:rPr>
        <w:t xml:space="preserve"> § 4 zákona o požární ochraně</w:t>
      </w:r>
    </w:p>
    <w:p w:rsidR="003F1E7D" w:rsidRPr="005662E8" w:rsidRDefault="003F1E7D">
      <w:pPr>
        <w:spacing w:before="240"/>
        <w:rPr>
          <w:rFonts w:ascii="Arial" w:hAnsi="Arial" w:cs="Arial"/>
          <w:sz w:val="18"/>
          <w:szCs w:val="18"/>
        </w:rPr>
      </w:pPr>
      <w:r w:rsidRPr="005662E8">
        <w:rPr>
          <w:rFonts w:ascii="Arial" w:hAnsi="Arial" w:cs="Arial"/>
          <w:sz w:val="18"/>
          <w:szCs w:val="18"/>
          <w:vertAlign w:val="superscript"/>
        </w:rPr>
        <w:t>4</w:t>
      </w:r>
      <w:r w:rsidRPr="005662E8">
        <w:rPr>
          <w:rFonts w:ascii="Arial" w:hAnsi="Arial" w:cs="Arial"/>
          <w:sz w:val="18"/>
          <w:szCs w:val="18"/>
        </w:rPr>
        <w:t xml:space="preserve"> Nařízení Královéhradeckého kraje č. 2/2002, kterým se stanoví podmínky k zabezpečení požární ochrany v budovách zvláštního významu na území Královéhradeckého kraje, včetně jeho změny vydané nařízením Královéhradeckého kraje 2/2005 </w:t>
      </w:r>
    </w:p>
    <w:p w:rsidR="003F1E7D" w:rsidRPr="005662E8" w:rsidRDefault="003F1E7D">
      <w:pPr>
        <w:spacing w:before="240"/>
        <w:rPr>
          <w:rFonts w:ascii="Arial" w:hAnsi="Arial" w:cs="Arial"/>
          <w:sz w:val="18"/>
          <w:szCs w:val="18"/>
        </w:rPr>
      </w:pPr>
      <w:r w:rsidRPr="005662E8">
        <w:rPr>
          <w:rFonts w:ascii="Arial" w:hAnsi="Arial" w:cs="Arial"/>
          <w:sz w:val="18"/>
          <w:szCs w:val="18"/>
          <w:vertAlign w:val="superscript"/>
        </w:rPr>
        <w:t>5</w:t>
      </w:r>
      <w:r w:rsidRPr="005662E8">
        <w:rPr>
          <w:rFonts w:ascii="Arial" w:hAnsi="Arial" w:cs="Arial"/>
          <w:sz w:val="18"/>
          <w:szCs w:val="18"/>
        </w:rPr>
        <w:t xml:space="preserve"> Nařízení Královéhradeckého kraje 3/2002, kterým se stanoví podmínky k zabezpečení požární ochrany v době zvýšeného nebezpečí vzniku požáru, včetně jeho změny vydané nařízením Královéhradeckého kraje 3/2018</w:t>
      </w:r>
    </w:p>
    <w:p w:rsidR="003F1E7D" w:rsidRPr="00042B47" w:rsidRDefault="003F1E7D" w:rsidP="00042B47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5662E8">
        <w:br w:type="page"/>
      </w:r>
      <w:r w:rsidRPr="005662E8">
        <w:rPr>
          <w:rFonts w:ascii="Arial" w:hAnsi="Arial" w:cs="Arial"/>
          <w:b/>
        </w:rPr>
        <w:t>Čl. 4</w:t>
      </w:r>
    </w:p>
    <w:p w:rsidR="003F1E7D" w:rsidRPr="005662E8" w:rsidRDefault="003F1E7D">
      <w:pPr>
        <w:spacing w:before="120" w:after="240"/>
        <w:ind w:right="23"/>
        <w:jc w:val="center"/>
        <w:rPr>
          <w:rFonts w:ascii="Arial" w:hAnsi="Arial" w:cs="Arial"/>
        </w:rPr>
      </w:pPr>
      <w:r w:rsidRPr="005662E8">
        <w:rPr>
          <w:rFonts w:ascii="Arial" w:hAnsi="Arial" w:cs="Arial"/>
          <w:b/>
        </w:rPr>
        <w:t>Způsob nepřetržitého zabezpečení požární ochrany</w:t>
      </w:r>
    </w:p>
    <w:p w:rsidR="003F1E7D" w:rsidRPr="005662E8" w:rsidRDefault="003F1E7D">
      <w:pPr>
        <w:numPr>
          <w:ilvl w:val="0"/>
          <w:numId w:val="5"/>
        </w:numPr>
        <w:tabs>
          <w:tab w:val="left" w:pos="700"/>
        </w:tabs>
        <w:spacing w:after="24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Přijetí ohlášení požáru, živelní pohromy či jiné mimořádné události v katastru města je nepřetržitě zabezpečeno systémem ohlašoven požáru uvedených v článku 7 vyhlášky.</w:t>
      </w:r>
    </w:p>
    <w:p w:rsidR="003F1E7D" w:rsidRPr="005662E8" w:rsidRDefault="003F1E7D">
      <w:pPr>
        <w:numPr>
          <w:ilvl w:val="0"/>
          <w:numId w:val="5"/>
        </w:numPr>
        <w:tabs>
          <w:tab w:val="left" w:pos="700"/>
        </w:tabs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Ochrana životů, zdraví a majetku občanů před požáry, živelními pohromami a jinými mimořádnými událostmi v katastru města je zabezpečena jednotkami požární ochrany uvedenými v článku 5 vyhlášky.</w:t>
      </w:r>
    </w:p>
    <w:p w:rsidR="003F1E7D" w:rsidRPr="005662E8" w:rsidRDefault="003F1E7D">
      <w:pPr>
        <w:spacing w:before="360"/>
        <w:ind w:right="23"/>
        <w:jc w:val="center"/>
        <w:rPr>
          <w:rFonts w:ascii="Arial" w:hAnsi="Arial" w:cs="Arial"/>
        </w:rPr>
      </w:pPr>
      <w:r w:rsidRPr="005662E8">
        <w:rPr>
          <w:rFonts w:ascii="Arial" w:hAnsi="Arial" w:cs="Arial"/>
          <w:b/>
        </w:rPr>
        <w:t>Čl. 5</w:t>
      </w:r>
    </w:p>
    <w:p w:rsidR="003F1E7D" w:rsidRPr="005662E8" w:rsidRDefault="003F1E7D">
      <w:pPr>
        <w:spacing w:before="120" w:after="24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Jednotky sboru dobrovolných hasičů města, kategorie, početní stav a vybavení</w:t>
      </w:r>
    </w:p>
    <w:p w:rsidR="003F1E7D" w:rsidRPr="005662E8" w:rsidRDefault="003F1E7D">
      <w:pPr>
        <w:numPr>
          <w:ilvl w:val="0"/>
          <w:numId w:val="6"/>
        </w:numPr>
        <w:tabs>
          <w:tab w:val="left" w:pos="700"/>
        </w:tabs>
        <w:spacing w:after="24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Město zřizuje na základě § 68 zákona o požární ochraně jednotky sboru dobrovolných hasičů města.</w:t>
      </w:r>
    </w:p>
    <w:p w:rsidR="003F1E7D" w:rsidRPr="005662E8" w:rsidRDefault="003F1E7D">
      <w:pPr>
        <w:numPr>
          <w:ilvl w:val="0"/>
          <w:numId w:val="6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V případě vzniku požáru nebo jiné mimořádné události jsou dle nařízení kraje</w:t>
      </w:r>
      <w:r w:rsidRPr="005662E8">
        <w:rPr>
          <w:rFonts w:ascii="Arial" w:hAnsi="Arial" w:cs="Arial"/>
          <w:sz w:val="20"/>
          <w:szCs w:val="20"/>
          <w:vertAlign w:val="superscript"/>
        </w:rPr>
        <w:t>6</w:t>
      </w:r>
      <w:r w:rsidRPr="005662E8">
        <w:rPr>
          <w:rFonts w:ascii="Arial" w:hAnsi="Arial" w:cs="Arial"/>
          <w:sz w:val="20"/>
          <w:szCs w:val="20"/>
        </w:rPr>
        <w:t xml:space="preserve"> pro poskytnutí pomoci na území obce určeny podle I. stupně požárního poplachu následující jednotky požární ochrany:</w:t>
      </w:r>
    </w:p>
    <w:tbl>
      <w:tblPr>
        <w:tblW w:w="964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86"/>
        <w:gridCol w:w="1246"/>
        <w:gridCol w:w="395"/>
        <w:gridCol w:w="939"/>
        <w:gridCol w:w="1070"/>
        <w:gridCol w:w="550"/>
        <w:gridCol w:w="939"/>
        <w:gridCol w:w="2035"/>
        <w:gridCol w:w="550"/>
        <w:gridCol w:w="939"/>
      </w:tblGrid>
      <w:tr w:rsidR="003F1E7D" w:rsidRPr="005662E8" w:rsidTr="0052564C">
        <w:tc>
          <w:tcPr>
            <w:tcW w:w="986" w:type="dxa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Místní část</w:t>
            </w:r>
          </w:p>
        </w:tc>
        <w:tc>
          <w:tcPr>
            <w:tcW w:w="1246" w:type="dxa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 xml:space="preserve">První jednotka PO 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Kategorie a evidenční číslo</w:t>
            </w:r>
          </w:p>
        </w:tc>
        <w:tc>
          <w:tcPr>
            <w:tcW w:w="1070" w:type="dxa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Druhá jednotka PO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Kategorie a evidenční číslo</w:t>
            </w:r>
          </w:p>
        </w:tc>
        <w:tc>
          <w:tcPr>
            <w:tcW w:w="2035" w:type="dxa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Třetí jednotka PO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Kategorie a evidenční číslo</w:t>
            </w:r>
          </w:p>
        </w:tc>
      </w:tr>
      <w:tr w:rsidR="003F1E7D" w:rsidRPr="005662E8" w:rsidTr="0052564C">
        <w:tc>
          <w:tcPr>
            <w:tcW w:w="986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Vrchlabí</w:t>
            </w:r>
          </w:p>
        </w:tc>
        <w:tc>
          <w:tcPr>
            <w:tcW w:w="1246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HZS Vrchlabí</w:t>
            </w:r>
          </w:p>
        </w:tc>
        <w:tc>
          <w:tcPr>
            <w:tcW w:w="395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39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525/012</w:t>
            </w:r>
          </w:p>
        </w:tc>
        <w:tc>
          <w:tcPr>
            <w:tcW w:w="1070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HZS Jilemnice</w:t>
            </w:r>
          </w:p>
        </w:tc>
        <w:tc>
          <w:tcPr>
            <w:tcW w:w="550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39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514/012</w:t>
            </w:r>
          </w:p>
        </w:tc>
        <w:tc>
          <w:tcPr>
            <w:tcW w:w="2035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JPO Vrchlabí</w:t>
            </w:r>
          </w:p>
        </w:tc>
        <w:tc>
          <w:tcPr>
            <w:tcW w:w="550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III/1</w:t>
            </w:r>
          </w:p>
        </w:tc>
        <w:tc>
          <w:tcPr>
            <w:tcW w:w="939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525/116</w:t>
            </w:r>
          </w:p>
        </w:tc>
      </w:tr>
      <w:tr w:rsidR="003F1E7D" w:rsidRPr="005662E8" w:rsidTr="0052564C">
        <w:tc>
          <w:tcPr>
            <w:tcW w:w="986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Hořejší Vrchlabí</w:t>
            </w:r>
          </w:p>
        </w:tc>
        <w:tc>
          <w:tcPr>
            <w:tcW w:w="1246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HZS Vrchlabí</w:t>
            </w:r>
          </w:p>
        </w:tc>
        <w:tc>
          <w:tcPr>
            <w:tcW w:w="395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39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525/012</w:t>
            </w:r>
          </w:p>
        </w:tc>
        <w:tc>
          <w:tcPr>
            <w:tcW w:w="1070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HZS Jilemnice</w:t>
            </w:r>
          </w:p>
        </w:tc>
        <w:tc>
          <w:tcPr>
            <w:tcW w:w="550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39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514/012</w:t>
            </w:r>
          </w:p>
        </w:tc>
        <w:tc>
          <w:tcPr>
            <w:tcW w:w="2035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JPO Vrchlabí</w:t>
            </w:r>
          </w:p>
        </w:tc>
        <w:tc>
          <w:tcPr>
            <w:tcW w:w="550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III/1</w:t>
            </w:r>
          </w:p>
        </w:tc>
        <w:tc>
          <w:tcPr>
            <w:tcW w:w="939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525/116</w:t>
            </w:r>
          </w:p>
        </w:tc>
      </w:tr>
      <w:tr w:rsidR="003F1E7D" w:rsidRPr="005662E8" w:rsidTr="0052564C">
        <w:tc>
          <w:tcPr>
            <w:tcW w:w="986" w:type="dxa"/>
            <w:tcBorders>
              <w:bottom w:val="single" w:sz="4" w:space="0" w:color="000000"/>
            </w:tcBorders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Podhůří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HZS Vrchlabí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39" w:type="dxa"/>
            <w:tcBorders>
              <w:bottom w:val="single" w:sz="4" w:space="0" w:color="000000"/>
            </w:tcBorders>
            <w:vAlign w:val="center"/>
          </w:tcPr>
          <w:p w:rsidR="003F1E7D" w:rsidRPr="0052564C" w:rsidRDefault="003F1E7D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525/012</w:t>
            </w:r>
          </w:p>
        </w:tc>
        <w:tc>
          <w:tcPr>
            <w:tcW w:w="1070" w:type="dxa"/>
            <w:tcBorders>
              <w:bottom w:val="single" w:sz="4" w:space="0" w:color="000000"/>
            </w:tcBorders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JPO Vrchlabí</w:t>
            </w:r>
          </w:p>
        </w:tc>
        <w:tc>
          <w:tcPr>
            <w:tcW w:w="550" w:type="dxa"/>
            <w:tcBorders>
              <w:bottom w:val="single" w:sz="4" w:space="0" w:color="000000"/>
            </w:tcBorders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III/1</w:t>
            </w:r>
          </w:p>
        </w:tc>
        <w:tc>
          <w:tcPr>
            <w:tcW w:w="939" w:type="dxa"/>
            <w:tcBorders>
              <w:bottom w:val="single" w:sz="4" w:space="0" w:color="000000"/>
            </w:tcBorders>
            <w:vAlign w:val="center"/>
          </w:tcPr>
          <w:p w:rsidR="003F1E7D" w:rsidRPr="0052564C" w:rsidRDefault="003F1E7D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525/116</w:t>
            </w:r>
          </w:p>
        </w:tc>
        <w:tc>
          <w:tcPr>
            <w:tcW w:w="2035" w:type="dxa"/>
            <w:tcBorders>
              <w:bottom w:val="single" w:sz="4" w:space="0" w:color="000000"/>
            </w:tcBorders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HZS Jilemnice</w:t>
            </w:r>
          </w:p>
        </w:tc>
        <w:tc>
          <w:tcPr>
            <w:tcW w:w="550" w:type="dxa"/>
            <w:tcBorders>
              <w:bottom w:val="single" w:sz="4" w:space="0" w:color="000000"/>
            </w:tcBorders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39" w:type="dxa"/>
            <w:tcBorders>
              <w:bottom w:val="single" w:sz="4" w:space="0" w:color="000000"/>
            </w:tcBorders>
            <w:vAlign w:val="center"/>
          </w:tcPr>
          <w:p w:rsidR="003F1E7D" w:rsidRPr="0052564C" w:rsidRDefault="003F1E7D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514/012</w:t>
            </w:r>
          </w:p>
        </w:tc>
      </w:tr>
    </w:tbl>
    <w:p w:rsidR="003F1E7D" w:rsidRPr="005662E8" w:rsidRDefault="003F1E7D">
      <w:pPr>
        <w:numPr>
          <w:ilvl w:val="0"/>
          <w:numId w:val="6"/>
        </w:numPr>
        <w:tabs>
          <w:tab w:val="left" w:pos="700"/>
        </w:tabs>
        <w:spacing w:before="120" w:after="24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Kategorie, početní stav a vybavení zřizovaných jednotek sboru dobrovolných hasičů města, jsou uvedeny v</w:t>
      </w:r>
      <w:r>
        <w:rPr>
          <w:rFonts w:ascii="Arial" w:hAnsi="Arial" w:cs="Arial"/>
          <w:sz w:val="20"/>
          <w:szCs w:val="20"/>
        </w:rPr>
        <w:t> samostatném dokumentu</w:t>
      </w:r>
      <w:r w:rsidRPr="005662E8">
        <w:rPr>
          <w:rFonts w:ascii="Arial" w:hAnsi="Arial" w:cs="Arial"/>
          <w:sz w:val="20"/>
          <w:szCs w:val="20"/>
        </w:rPr>
        <w:t>.</w:t>
      </w:r>
    </w:p>
    <w:p w:rsidR="003F1E7D" w:rsidRPr="005662E8" w:rsidRDefault="003F1E7D">
      <w:pPr>
        <w:spacing w:before="36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Čl. 6</w:t>
      </w:r>
    </w:p>
    <w:p w:rsidR="003F1E7D" w:rsidRPr="005662E8" w:rsidRDefault="003F1E7D">
      <w:pPr>
        <w:spacing w:before="120" w:after="24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:rsidR="003F1E7D" w:rsidRPr="005662E8" w:rsidRDefault="003F1E7D">
      <w:pPr>
        <w:numPr>
          <w:ilvl w:val="0"/>
          <w:numId w:val="7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Město stanovuje v souladu s nařízením kraje</w:t>
      </w:r>
      <w:r w:rsidRPr="005662E8">
        <w:rPr>
          <w:rFonts w:ascii="Arial" w:hAnsi="Arial" w:cs="Arial"/>
          <w:sz w:val="20"/>
          <w:szCs w:val="20"/>
          <w:vertAlign w:val="superscript"/>
        </w:rPr>
        <w:t>7</w:t>
      </w:r>
      <w:r w:rsidRPr="005662E8">
        <w:rPr>
          <w:rFonts w:ascii="Arial" w:hAnsi="Arial" w:cs="Arial"/>
          <w:sz w:val="20"/>
          <w:szCs w:val="20"/>
        </w:rPr>
        <w:t xml:space="preserve"> následující zdroje požární vody, které musí svou kapacitou, umístěním a vybavením umožnit účinný požární zásah:</w:t>
      </w:r>
    </w:p>
    <w:p w:rsidR="003F1E7D" w:rsidRPr="005662E8" w:rsidRDefault="003F1E7D">
      <w:pPr>
        <w:numPr>
          <w:ilvl w:val="0"/>
          <w:numId w:val="8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přírodní čerpací stanoviště pro požární techniku:</w:t>
      </w:r>
    </w:p>
    <w:p w:rsidR="003F1E7D" w:rsidRPr="005662E8" w:rsidRDefault="003F1E7D">
      <w:pPr>
        <w:tabs>
          <w:tab w:val="left" w:pos="1420"/>
        </w:tabs>
        <w:spacing w:after="120"/>
        <w:ind w:left="993" w:right="23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Řeka Labe – náhon Jihoslovanská, náplavka na nábřeží Marie Kubátové, Herlíkovice, rybník Vejsplachy – příjezd od ulice Pražské k pláži „u Majáku</w:t>
      </w:r>
      <w:r>
        <w:rPr>
          <w:rFonts w:ascii="Arial" w:hAnsi="Arial" w:cs="Arial"/>
          <w:sz w:val="20"/>
          <w:szCs w:val="20"/>
        </w:rPr>
        <w:t>“</w:t>
      </w:r>
      <w:r w:rsidRPr="005662E8">
        <w:rPr>
          <w:rFonts w:ascii="Arial" w:hAnsi="Arial" w:cs="Arial"/>
          <w:sz w:val="20"/>
          <w:szCs w:val="20"/>
        </w:rPr>
        <w:t xml:space="preserve">, příjezd od kempu, Vrchlabský rybník (u letiště) </w:t>
      </w:r>
    </w:p>
    <w:p w:rsidR="003F1E7D" w:rsidRPr="005662E8" w:rsidRDefault="003F1E7D">
      <w:pPr>
        <w:numPr>
          <w:ilvl w:val="0"/>
          <w:numId w:val="8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hydrantová síť – požární hydrantová síť na území města, která zahrnuje hydranty uvedené příloze číslo 2 vyhlášky</w:t>
      </w:r>
    </w:p>
    <w:p w:rsidR="003F1E7D" w:rsidRPr="005662E8" w:rsidRDefault="003F1E7D">
      <w:pPr>
        <w:spacing w:line="14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numPr>
          <w:ilvl w:val="0"/>
          <w:numId w:val="7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Vlastník nebo uživatel zdrojů vody pro hašení požárů je povinen tyto udržovat v takovém stavu, aby bylo umožněno použití mobilní požární techniky a čerpání vody pro hašení požárů</w:t>
      </w:r>
      <w:r w:rsidRPr="005662E8">
        <w:rPr>
          <w:rFonts w:ascii="Arial" w:hAnsi="Arial" w:cs="Arial"/>
          <w:sz w:val="20"/>
          <w:szCs w:val="20"/>
          <w:vertAlign w:val="superscript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3F1E7D" w:rsidRPr="005662E8" w:rsidRDefault="003F1E7D">
      <w:pPr>
        <w:numPr>
          <w:ilvl w:val="0"/>
          <w:numId w:val="7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Obec nad rámec nařízení kraje nestanovila další zdroje vody pro hašení požárů.</w:t>
      </w:r>
    </w:p>
    <w:p w:rsidR="003F1E7D" w:rsidRPr="005662E8" w:rsidRDefault="003F1E7D">
      <w:pPr>
        <w:numPr>
          <w:ilvl w:val="0"/>
          <w:numId w:val="7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Seznam a GPS souřadnice/plánky hydrantů a čerpací</w:t>
      </w:r>
      <w:r>
        <w:rPr>
          <w:rFonts w:ascii="Arial" w:hAnsi="Arial" w:cs="Arial"/>
          <w:sz w:val="20"/>
          <w:szCs w:val="20"/>
        </w:rPr>
        <w:t>ch stanovišť požární techniky jsou</w:t>
      </w:r>
      <w:r w:rsidRPr="005662E8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y v samostatném dokumentu</w:t>
      </w:r>
      <w:r w:rsidRPr="005662E8">
        <w:rPr>
          <w:rFonts w:ascii="Arial" w:hAnsi="Arial" w:cs="Arial"/>
          <w:sz w:val="20"/>
          <w:szCs w:val="20"/>
        </w:rPr>
        <w:t>.</w:t>
      </w:r>
      <w:r>
        <w:rPr>
          <w:noProof/>
        </w:rPr>
        <w:pict>
          <v:shape id="image3.png" o:spid="_x0000_s1029" type="#_x0000_t75" style="position:absolute;left:0;text-align:left;margin-left:9pt;margin-top:0;width:0;height:1pt;z-index:251661312;visibility:visible;mso-position-horizontal-relative:text;mso-position-vertical-relative:text">
            <v:imagedata r:id="rId10" o:title=""/>
          </v:shape>
        </w:pict>
      </w:r>
    </w:p>
    <w:p w:rsidR="003F1E7D" w:rsidRPr="005662E8" w:rsidRDefault="003F1E7D">
      <w:pPr>
        <w:spacing w:before="360"/>
        <w:rPr>
          <w:rFonts w:ascii="Arial" w:hAnsi="Arial" w:cs="Arial"/>
          <w:sz w:val="18"/>
          <w:szCs w:val="18"/>
        </w:rPr>
      </w:pPr>
      <w:r w:rsidRPr="005662E8">
        <w:rPr>
          <w:rFonts w:ascii="Arial" w:hAnsi="Arial" w:cs="Arial"/>
          <w:sz w:val="18"/>
          <w:szCs w:val="18"/>
          <w:vertAlign w:val="superscript"/>
        </w:rPr>
        <w:t>6</w:t>
      </w:r>
      <w:r w:rsidRPr="005662E8">
        <w:rPr>
          <w:rFonts w:ascii="Arial" w:hAnsi="Arial" w:cs="Arial"/>
          <w:sz w:val="18"/>
          <w:szCs w:val="18"/>
        </w:rPr>
        <w:t xml:space="preserve"> nařízení Královéhradeckého kraje č. 5/2020 ze dne 5. 10. 2020, kterým se stanovují podmínky k zabezpečení plošného pokrytí území Královéhradeckého kraje jednotkami požární ochrany</w:t>
      </w:r>
    </w:p>
    <w:p w:rsidR="003F1E7D" w:rsidRPr="00042B47" w:rsidRDefault="003F1E7D" w:rsidP="00272DF1">
      <w:pPr>
        <w:tabs>
          <w:tab w:val="left" w:pos="820"/>
        </w:tabs>
        <w:spacing w:before="120" w:line="230" w:lineRule="auto"/>
        <w:ind w:right="119"/>
        <w:jc w:val="center"/>
        <w:rPr>
          <w:rFonts w:ascii="Arial" w:hAnsi="Arial" w:cs="Arial"/>
          <w:sz w:val="18"/>
          <w:szCs w:val="18"/>
        </w:rPr>
      </w:pPr>
      <w:r w:rsidRPr="005662E8">
        <w:rPr>
          <w:rFonts w:ascii="Arial" w:hAnsi="Arial" w:cs="Arial"/>
          <w:sz w:val="18"/>
          <w:szCs w:val="18"/>
          <w:vertAlign w:val="superscript"/>
        </w:rPr>
        <w:t>7</w:t>
      </w:r>
      <w:r w:rsidRPr="005662E8">
        <w:rPr>
          <w:rFonts w:ascii="Arial" w:hAnsi="Arial" w:cs="Arial"/>
          <w:sz w:val="18"/>
          <w:szCs w:val="18"/>
        </w:rPr>
        <w:t xml:space="preserve"> nařízení Královéhradeckého kraje č. 1/2004, kterým se stanoví podmínky k zabezpečení zdrojů vody k hašení požárů</w:t>
      </w:r>
      <w:r w:rsidRPr="005662E8">
        <w:br w:type="page"/>
      </w:r>
      <w:r w:rsidRPr="005662E8">
        <w:rPr>
          <w:rFonts w:ascii="Arial" w:hAnsi="Arial" w:cs="Arial"/>
          <w:b/>
        </w:rPr>
        <w:t>Čl. 7</w:t>
      </w:r>
    </w:p>
    <w:p w:rsidR="003F1E7D" w:rsidRPr="005662E8" w:rsidRDefault="003F1E7D">
      <w:pPr>
        <w:spacing w:before="120" w:after="24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Seznam ohlašoven požárů a dalších míst, odkud lze hlásit požár, jejich označení a způsob oznámení mimořádné události na území města</w:t>
      </w:r>
    </w:p>
    <w:p w:rsidR="003F1E7D" w:rsidRPr="005662E8" w:rsidRDefault="003F1E7D">
      <w:pPr>
        <w:numPr>
          <w:ilvl w:val="0"/>
          <w:numId w:val="11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V katastru města se nachází místa pro hlášení požárů nebo mimořádných událostí. Tato místa jsou trvale označena informační tabulkou odpovídají</w:t>
      </w:r>
      <w:r>
        <w:rPr>
          <w:rFonts w:ascii="Arial" w:hAnsi="Arial" w:cs="Arial"/>
          <w:sz w:val="20"/>
          <w:szCs w:val="20"/>
        </w:rPr>
        <w:t>cí požadavkům platným předpisům</w:t>
      </w:r>
      <w:r w:rsidRPr="005662E8">
        <w:rPr>
          <w:rFonts w:ascii="Arial" w:hAnsi="Arial" w:cs="Arial"/>
          <w:sz w:val="20"/>
          <w:szCs w:val="20"/>
          <w:vertAlign w:val="superscript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3F1E7D" w:rsidRPr="005662E8" w:rsidRDefault="003F1E7D">
      <w:pPr>
        <w:numPr>
          <w:ilvl w:val="0"/>
          <w:numId w:val="11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Město zřizuje ohlašovnu požárů, která je dostupná 24 hodin denně.</w:t>
      </w:r>
    </w:p>
    <w:p w:rsidR="003F1E7D" w:rsidRPr="005662E8" w:rsidRDefault="003F1E7D">
      <w:pPr>
        <w:numPr>
          <w:ilvl w:val="0"/>
          <w:numId w:val="11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Požár, případně jinou mimořádnou událost, je možné ohlásit osobně na ohlašovně požárů města nebo na stanici HZS.</w:t>
      </w:r>
    </w:p>
    <w:p w:rsidR="003F1E7D" w:rsidRPr="005662E8" w:rsidRDefault="003F1E7D">
      <w:pPr>
        <w:spacing w:line="14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 w:rsidP="00314815">
      <w:pPr>
        <w:numPr>
          <w:ilvl w:val="0"/>
          <w:numId w:val="9"/>
        </w:numPr>
        <w:tabs>
          <w:tab w:val="left" w:pos="900"/>
        </w:tabs>
        <w:spacing w:after="120"/>
        <w:ind w:left="993" w:hanging="2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5662E8">
        <w:rPr>
          <w:rFonts w:ascii="Arial" w:hAnsi="Arial" w:cs="Arial"/>
          <w:b/>
          <w:color w:val="000000"/>
          <w:sz w:val="20"/>
          <w:szCs w:val="20"/>
        </w:rPr>
        <w:t xml:space="preserve">Ohlašovna požárů </w:t>
      </w:r>
      <w:r w:rsidRPr="005662E8">
        <w:rPr>
          <w:rFonts w:ascii="Arial" w:hAnsi="Arial" w:cs="Arial"/>
          <w:color w:val="000000"/>
          <w:sz w:val="20"/>
          <w:szCs w:val="20"/>
        </w:rPr>
        <w:t>– Městská policie, Krkonošská 630, Vrchlabí</w:t>
      </w:r>
      <w:r w:rsidRPr="005662E8">
        <w:rPr>
          <w:rFonts w:ascii="Arial" w:hAnsi="Arial" w:cs="Arial"/>
          <w:color w:val="000000"/>
          <w:sz w:val="20"/>
          <w:szCs w:val="20"/>
        </w:rPr>
        <w:br/>
        <w:t>telefonní číslo 156, 499 422 013, 737 225 663</w:t>
      </w:r>
    </w:p>
    <w:p w:rsidR="003F1E7D" w:rsidRPr="005662E8" w:rsidRDefault="003F1E7D">
      <w:pPr>
        <w:spacing w:line="14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 w:rsidP="00314815">
      <w:pPr>
        <w:numPr>
          <w:ilvl w:val="0"/>
          <w:numId w:val="9"/>
        </w:numPr>
        <w:spacing w:after="120"/>
        <w:ind w:left="993" w:hanging="283"/>
        <w:rPr>
          <w:rFonts w:ascii="Arial" w:hAnsi="Arial" w:cs="Arial"/>
          <w:color w:val="000000"/>
          <w:sz w:val="20"/>
          <w:szCs w:val="20"/>
        </w:rPr>
      </w:pPr>
      <w:r w:rsidRPr="005662E8">
        <w:rPr>
          <w:rFonts w:ascii="Arial" w:hAnsi="Arial" w:cs="Arial"/>
          <w:b/>
          <w:color w:val="000000"/>
          <w:sz w:val="20"/>
          <w:szCs w:val="20"/>
        </w:rPr>
        <w:t>HZS Královéhradeckého kraje, stanice Vrchlabí</w:t>
      </w:r>
      <w:r w:rsidRPr="005662E8">
        <w:rPr>
          <w:rFonts w:ascii="Arial" w:hAnsi="Arial" w:cs="Arial"/>
          <w:color w:val="000000"/>
          <w:sz w:val="20"/>
          <w:szCs w:val="20"/>
        </w:rPr>
        <w:t>, Valteřická 1409, Vrchlabí</w:t>
      </w:r>
      <w:r w:rsidRPr="005662E8">
        <w:rPr>
          <w:rFonts w:ascii="Arial" w:hAnsi="Arial" w:cs="Arial"/>
          <w:color w:val="000000"/>
          <w:sz w:val="20"/>
          <w:szCs w:val="20"/>
        </w:rPr>
        <w:br/>
        <w:t>telefonní číslo 950 530 111.</w:t>
      </w:r>
    </w:p>
    <w:p w:rsidR="003F1E7D" w:rsidRPr="005662E8" w:rsidRDefault="003F1E7D">
      <w:pPr>
        <w:spacing w:line="14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numPr>
          <w:ilvl w:val="0"/>
          <w:numId w:val="11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Požár, případně jinou mimořádnou událost, je také možné bezplatně ohlásit na linku tísňového volání uvedenou níže z kteréhokoliv dostupného telefonu.</w:t>
      </w:r>
    </w:p>
    <w:p w:rsidR="003F1E7D" w:rsidRPr="005662E8" w:rsidRDefault="003F1E7D">
      <w:pPr>
        <w:numPr>
          <w:ilvl w:val="0"/>
          <w:numId w:val="11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Seznam důležitých telefonních čísel:</w:t>
      </w:r>
    </w:p>
    <w:p w:rsidR="003F1E7D" w:rsidRPr="005662E8" w:rsidRDefault="003F1E7D">
      <w:pPr>
        <w:tabs>
          <w:tab w:val="left" w:pos="700"/>
        </w:tabs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b/>
          <w:sz w:val="20"/>
          <w:szCs w:val="20"/>
        </w:rPr>
        <w:t>DŮLEŽITÁ TELEFONNÍ ČÍSLA</w:t>
      </w:r>
    </w:p>
    <w:tbl>
      <w:tblPr>
        <w:tblW w:w="94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02"/>
        <w:gridCol w:w="1276"/>
        <w:gridCol w:w="2977"/>
        <w:gridCol w:w="1843"/>
      </w:tblGrid>
      <w:tr w:rsidR="003F1E7D" w:rsidRPr="005662E8" w:rsidTr="0052564C">
        <w:trPr>
          <w:trHeight w:val="328"/>
        </w:trPr>
        <w:tc>
          <w:tcPr>
            <w:tcW w:w="3402" w:type="dxa"/>
            <w:shd w:val="clear" w:color="auto" w:fill="E6E6E6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Hasičský záchranný sbor</w:t>
            </w:r>
          </w:p>
        </w:tc>
        <w:tc>
          <w:tcPr>
            <w:tcW w:w="1276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Elektřina, hlášení poruch</w:t>
            </w:r>
          </w:p>
        </w:tc>
        <w:tc>
          <w:tcPr>
            <w:tcW w:w="1843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800 850 860</w:t>
            </w:r>
          </w:p>
        </w:tc>
      </w:tr>
      <w:tr w:rsidR="003F1E7D" w:rsidRPr="005662E8" w:rsidTr="0052564C">
        <w:trPr>
          <w:trHeight w:val="302"/>
        </w:trPr>
        <w:tc>
          <w:tcPr>
            <w:tcW w:w="3402" w:type="dxa"/>
            <w:shd w:val="clear" w:color="auto" w:fill="E6E6E6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Policie</w:t>
            </w:r>
          </w:p>
        </w:tc>
        <w:tc>
          <w:tcPr>
            <w:tcW w:w="1276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158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Plyn, hlášení poruch</w:t>
            </w:r>
          </w:p>
        </w:tc>
        <w:tc>
          <w:tcPr>
            <w:tcW w:w="1843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12 39</w:t>
            </w:r>
          </w:p>
        </w:tc>
      </w:tr>
      <w:tr w:rsidR="003F1E7D" w:rsidRPr="005662E8" w:rsidTr="0052564C">
        <w:trPr>
          <w:trHeight w:val="303"/>
        </w:trPr>
        <w:tc>
          <w:tcPr>
            <w:tcW w:w="3402" w:type="dxa"/>
            <w:shd w:val="clear" w:color="auto" w:fill="E6E6E6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Zdravotnická záchranná služba</w:t>
            </w:r>
          </w:p>
        </w:tc>
        <w:tc>
          <w:tcPr>
            <w:tcW w:w="1276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155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Voda, hlášení poruch</w:t>
            </w:r>
          </w:p>
        </w:tc>
        <w:tc>
          <w:tcPr>
            <w:tcW w:w="1843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731 200 531</w:t>
            </w:r>
          </w:p>
        </w:tc>
      </w:tr>
      <w:tr w:rsidR="003F1E7D" w:rsidRPr="005662E8" w:rsidTr="0052564C">
        <w:trPr>
          <w:trHeight w:val="303"/>
        </w:trPr>
        <w:tc>
          <w:tcPr>
            <w:tcW w:w="3402" w:type="dxa"/>
            <w:shd w:val="clear" w:color="auto" w:fill="E6E6E6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Tísňové číslo</w:t>
            </w:r>
          </w:p>
        </w:tc>
        <w:tc>
          <w:tcPr>
            <w:tcW w:w="1276" w:type="dxa"/>
            <w:vAlign w:val="center"/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112</w:t>
            </w:r>
          </w:p>
        </w:tc>
        <w:tc>
          <w:tcPr>
            <w:tcW w:w="2977" w:type="dxa"/>
            <w:tcBorders>
              <w:bottom w:val="nil"/>
              <w:right w:val="nil"/>
            </w:tcBorders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3F1E7D" w:rsidRPr="0052564C" w:rsidRDefault="003F1E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F1E7D" w:rsidRPr="005662E8" w:rsidRDefault="003F1E7D">
      <w:pPr>
        <w:spacing w:before="36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Čl. 8</w:t>
      </w:r>
    </w:p>
    <w:p w:rsidR="003F1E7D" w:rsidRPr="005662E8" w:rsidRDefault="003F1E7D">
      <w:pPr>
        <w:spacing w:before="120" w:after="24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Způsob vyhlášení požárního poplachu</w:t>
      </w:r>
    </w:p>
    <w:p w:rsidR="003F1E7D" w:rsidRPr="005662E8" w:rsidRDefault="003F1E7D">
      <w:pPr>
        <w:numPr>
          <w:ilvl w:val="0"/>
          <w:numId w:val="13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Vyhlášení požárního poplachu ve městě se provádí:</w:t>
      </w:r>
    </w:p>
    <w:p w:rsidR="003F1E7D" w:rsidRPr="005662E8" w:rsidRDefault="003F1E7D">
      <w:pPr>
        <w:numPr>
          <w:ilvl w:val="0"/>
          <w:numId w:val="2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pro členy JSDH elektronicky prostřednictvím Krajského operačního střediska HZS,</w:t>
      </w:r>
    </w:p>
    <w:p w:rsidR="003F1E7D" w:rsidRPr="005662E8" w:rsidRDefault="003F1E7D">
      <w:pPr>
        <w:spacing w:line="14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numPr>
          <w:ilvl w:val="0"/>
          <w:numId w:val="2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signálem „POŽÁRNÍ POPLACH”, vyhlašovaným elektronickou sirénou (napodobuje hlas trubky troubící tón „HO – ŘÍ”, „HO – ŘÍ”) po dobu 60 s. Tento signál je doplněn hlášením a je určen pouze pro svolání jednotek sborů dobrovolných hasičů města a NEVARUJE před nebezpečím,</w:t>
      </w:r>
      <w:r>
        <w:rPr>
          <w:noProof/>
        </w:rPr>
        <w:pict>
          <v:shape id="image1.jpg" o:spid="_x0000_s1030" type="#_x0000_t75" style="position:absolute;left:0;text-align:left;margin-left:180.3pt;margin-top:40.3pt;width:185.7pt;height:44.3pt;z-index:251662336;visibility:visible;mso-position-horizontal-relative:text;mso-position-vertical-relative:text">
            <v:imagedata r:id="rId11" o:title=""/>
            <w10:wrap type="square"/>
          </v:shape>
        </w:pict>
      </w:r>
    </w:p>
    <w:p w:rsidR="003F1E7D" w:rsidRPr="005662E8" w:rsidRDefault="003F1E7D">
      <w:pPr>
        <w:spacing w:line="200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spacing w:line="200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spacing w:line="303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numPr>
          <w:ilvl w:val="1"/>
          <w:numId w:val="12"/>
        </w:numPr>
        <w:tabs>
          <w:tab w:val="left" w:pos="1540"/>
        </w:tabs>
        <w:spacing w:line="234" w:lineRule="auto"/>
        <w:ind w:left="1540" w:right="120" w:hanging="712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signálem „VŠEOBECNÁ VÝSTRAHA”, který je vyhlašován kolísavým tónem sirény po dobu 140 s.</w:t>
      </w:r>
      <w:r>
        <w:rPr>
          <w:noProof/>
        </w:rPr>
        <w:pict>
          <v:shape id="image5.jpg" o:spid="_x0000_s1031" type="#_x0000_t75" style="position:absolute;left:0;text-align:left;margin-left:142.95pt;margin-top:20.1pt;width:289.95pt;height:46.35pt;z-index:251663360;visibility:visible;mso-position-horizontal-relative:text;mso-position-vertical-relative:text">
            <v:imagedata r:id="rId12" o:title=""/>
            <w10:wrap type="square"/>
          </v:shape>
        </w:pict>
      </w:r>
    </w:p>
    <w:p w:rsidR="003F1E7D" w:rsidRPr="005662E8" w:rsidRDefault="003F1E7D">
      <w:pPr>
        <w:spacing w:line="200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spacing w:line="200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spacing w:line="200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spacing w:line="200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spacing w:line="260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numPr>
          <w:ilvl w:val="0"/>
          <w:numId w:val="13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V případě poruchy technických zařízení pro vyhlášení požárního poplachu se požární poplach ve městě vyhlašuje náhradním způsobem:</w:t>
      </w:r>
    </w:p>
    <w:tbl>
      <w:tblPr>
        <w:tblW w:w="9398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27"/>
        <w:gridCol w:w="1272"/>
        <w:gridCol w:w="2381"/>
        <w:gridCol w:w="1715"/>
        <w:gridCol w:w="1303"/>
      </w:tblGrid>
      <w:tr w:rsidR="003F1E7D" w:rsidRPr="005662E8" w:rsidTr="0052564C">
        <w:trPr>
          <w:trHeight w:val="366"/>
        </w:trPr>
        <w:tc>
          <w:tcPr>
            <w:tcW w:w="3999" w:type="dxa"/>
            <w:gridSpan w:val="2"/>
            <w:shd w:val="clear" w:color="auto" w:fill="E6E6E6"/>
            <w:vAlign w:val="bottom"/>
          </w:tcPr>
          <w:p w:rsidR="003F1E7D" w:rsidRPr="0052564C" w:rsidRDefault="003F1E7D" w:rsidP="0052564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Náhradní způsob varování</w:t>
            </w:r>
          </w:p>
        </w:tc>
        <w:tc>
          <w:tcPr>
            <w:tcW w:w="2381" w:type="dxa"/>
            <w:vMerge w:val="restart"/>
            <w:shd w:val="clear" w:color="auto" w:fill="E6E6E6"/>
            <w:vAlign w:val="bottom"/>
          </w:tcPr>
          <w:p w:rsidR="003F1E7D" w:rsidRPr="0052564C" w:rsidRDefault="003F1E7D" w:rsidP="0052564C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Vykonavatel</w:t>
            </w:r>
          </w:p>
        </w:tc>
        <w:tc>
          <w:tcPr>
            <w:tcW w:w="3018" w:type="dxa"/>
            <w:gridSpan w:val="2"/>
            <w:shd w:val="clear" w:color="auto" w:fill="E6E6E6"/>
            <w:vAlign w:val="bottom"/>
          </w:tcPr>
          <w:p w:rsidR="003F1E7D" w:rsidRPr="0052564C" w:rsidRDefault="003F1E7D">
            <w:pPr>
              <w:rPr>
                <w:rFonts w:ascii="Arial" w:hAnsi="Arial" w:cs="Arial"/>
                <w:sz w:val="2"/>
                <w:szCs w:val="2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Převzetí výzvy na varování</w:t>
            </w:r>
          </w:p>
        </w:tc>
      </w:tr>
      <w:tr w:rsidR="003F1E7D" w:rsidRPr="005662E8" w:rsidTr="0052564C">
        <w:trPr>
          <w:trHeight w:val="284"/>
        </w:trPr>
        <w:tc>
          <w:tcPr>
            <w:tcW w:w="2727" w:type="dxa"/>
            <w:vMerge w:val="restart"/>
            <w:shd w:val="clear" w:color="auto" w:fill="E6E6E6"/>
            <w:vAlign w:val="bottom"/>
          </w:tcPr>
          <w:p w:rsidR="003F1E7D" w:rsidRPr="0052564C" w:rsidRDefault="003F1E7D" w:rsidP="0052564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Druh</w:t>
            </w:r>
          </w:p>
        </w:tc>
        <w:tc>
          <w:tcPr>
            <w:tcW w:w="1272" w:type="dxa"/>
            <w:vMerge w:val="restart"/>
            <w:shd w:val="clear" w:color="auto" w:fill="E6E6E6"/>
            <w:vAlign w:val="bottom"/>
          </w:tcPr>
          <w:p w:rsidR="003F1E7D" w:rsidRPr="0052564C" w:rsidRDefault="003F1E7D" w:rsidP="0052564C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Umístění</w:t>
            </w:r>
          </w:p>
        </w:tc>
        <w:tc>
          <w:tcPr>
            <w:tcW w:w="2381" w:type="dxa"/>
            <w:vMerge/>
            <w:shd w:val="clear" w:color="auto" w:fill="E6E6E6"/>
            <w:vAlign w:val="bottom"/>
          </w:tcPr>
          <w:p w:rsidR="003F1E7D" w:rsidRPr="0052564C" w:rsidRDefault="003F1E7D" w:rsidP="0052564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  <w:shd w:val="clear" w:color="auto" w:fill="E6E6E6"/>
            <w:vAlign w:val="bottom"/>
          </w:tcPr>
          <w:p w:rsidR="003F1E7D" w:rsidRPr="0052564C" w:rsidRDefault="003F1E7D" w:rsidP="0052564C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1303" w:type="dxa"/>
            <w:vMerge w:val="restart"/>
            <w:shd w:val="clear" w:color="auto" w:fill="E6E6E6"/>
            <w:vAlign w:val="bottom"/>
          </w:tcPr>
          <w:p w:rsidR="003F1E7D" w:rsidRPr="0052564C" w:rsidRDefault="003F1E7D" w:rsidP="0052564C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Na výzvu</w:t>
            </w:r>
          </w:p>
        </w:tc>
      </w:tr>
      <w:tr w:rsidR="003F1E7D" w:rsidRPr="005662E8" w:rsidTr="0052564C">
        <w:trPr>
          <w:trHeight w:val="264"/>
        </w:trPr>
        <w:tc>
          <w:tcPr>
            <w:tcW w:w="2727" w:type="dxa"/>
            <w:vMerge/>
            <w:shd w:val="clear" w:color="auto" w:fill="E6E6E6"/>
            <w:vAlign w:val="bottom"/>
          </w:tcPr>
          <w:p w:rsidR="003F1E7D" w:rsidRPr="0052564C" w:rsidRDefault="003F1E7D" w:rsidP="0052564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E6E6E6"/>
            <w:vAlign w:val="bottom"/>
          </w:tcPr>
          <w:p w:rsidR="003F1E7D" w:rsidRPr="0052564C" w:rsidRDefault="003F1E7D" w:rsidP="0052564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auto" w:fill="E6E6E6"/>
            <w:vAlign w:val="bottom"/>
          </w:tcPr>
          <w:p w:rsidR="003F1E7D" w:rsidRPr="0052564C" w:rsidRDefault="003F1E7D" w:rsidP="0052564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E6E6E6"/>
            <w:vAlign w:val="bottom"/>
          </w:tcPr>
          <w:p w:rsidR="003F1E7D" w:rsidRPr="0052564C" w:rsidRDefault="003F1E7D" w:rsidP="0052564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vMerge/>
            <w:shd w:val="clear" w:color="auto" w:fill="E6E6E6"/>
            <w:vAlign w:val="bottom"/>
          </w:tcPr>
          <w:p w:rsidR="003F1E7D" w:rsidRPr="0052564C" w:rsidRDefault="003F1E7D" w:rsidP="0052564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E7D" w:rsidRPr="005662E8" w:rsidTr="0052564C">
        <w:trPr>
          <w:trHeight w:val="284"/>
        </w:trPr>
        <w:tc>
          <w:tcPr>
            <w:tcW w:w="2727" w:type="dxa"/>
            <w:vAlign w:val="bottom"/>
          </w:tcPr>
          <w:p w:rsidR="003F1E7D" w:rsidRPr="0052564C" w:rsidRDefault="003F1E7D" w:rsidP="0052564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 xml:space="preserve">Vozidlo městské policie </w:t>
            </w:r>
          </w:p>
        </w:tc>
        <w:tc>
          <w:tcPr>
            <w:tcW w:w="1272" w:type="dxa"/>
            <w:vAlign w:val="bottom"/>
          </w:tcPr>
          <w:p w:rsidR="003F1E7D" w:rsidRPr="0052564C" w:rsidRDefault="003F1E7D" w:rsidP="0052564C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Vrchlabí</w:t>
            </w:r>
          </w:p>
        </w:tc>
        <w:tc>
          <w:tcPr>
            <w:tcW w:w="2381" w:type="dxa"/>
            <w:vAlign w:val="bottom"/>
          </w:tcPr>
          <w:p w:rsidR="003F1E7D" w:rsidRPr="0052564C" w:rsidRDefault="003F1E7D" w:rsidP="0052564C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velitel městské policie</w:t>
            </w:r>
          </w:p>
        </w:tc>
        <w:tc>
          <w:tcPr>
            <w:tcW w:w="1715" w:type="dxa"/>
            <w:vAlign w:val="bottom"/>
          </w:tcPr>
          <w:p w:rsidR="003F1E7D" w:rsidRPr="0052564C" w:rsidRDefault="003F1E7D" w:rsidP="0052564C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499 422 013</w:t>
            </w:r>
          </w:p>
        </w:tc>
        <w:tc>
          <w:tcPr>
            <w:tcW w:w="1303" w:type="dxa"/>
            <w:vAlign w:val="bottom"/>
          </w:tcPr>
          <w:p w:rsidR="003F1E7D" w:rsidRPr="0052564C" w:rsidRDefault="003F1E7D" w:rsidP="0052564C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starosty</w:t>
            </w:r>
          </w:p>
        </w:tc>
      </w:tr>
      <w:tr w:rsidR="003F1E7D" w:rsidRPr="005662E8" w:rsidTr="0052564C">
        <w:trPr>
          <w:trHeight w:val="284"/>
        </w:trPr>
        <w:tc>
          <w:tcPr>
            <w:tcW w:w="2727" w:type="dxa"/>
            <w:vAlign w:val="bottom"/>
          </w:tcPr>
          <w:p w:rsidR="003F1E7D" w:rsidRPr="0052564C" w:rsidRDefault="003F1E7D" w:rsidP="0052564C">
            <w:pPr>
              <w:spacing w:line="222" w:lineRule="auto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Vozidlo dobrovolných hasičů</w:t>
            </w:r>
          </w:p>
        </w:tc>
        <w:tc>
          <w:tcPr>
            <w:tcW w:w="1272" w:type="dxa"/>
            <w:vAlign w:val="bottom"/>
          </w:tcPr>
          <w:p w:rsidR="003F1E7D" w:rsidRPr="0052564C" w:rsidRDefault="003F1E7D" w:rsidP="0052564C">
            <w:pPr>
              <w:ind w:left="60"/>
              <w:rPr>
                <w:rFonts w:ascii="Arial" w:hAnsi="Arial" w:cs="Arial"/>
                <w:sz w:val="19"/>
                <w:szCs w:val="19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Podhůří</w:t>
            </w:r>
          </w:p>
        </w:tc>
        <w:tc>
          <w:tcPr>
            <w:tcW w:w="2381" w:type="dxa"/>
            <w:vAlign w:val="bottom"/>
          </w:tcPr>
          <w:p w:rsidR="003F1E7D" w:rsidRPr="0052564C" w:rsidRDefault="003F1E7D" w:rsidP="0052564C">
            <w:pPr>
              <w:ind w:left="60"/>
              <w:rPr>
                <w:rFonts w:ascii="Arial" w:hAnsi="Arial" w:cs="Arial"/>
                <w:sz w:val="19"/>
                <w:szCs w:val="19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velitel jednotky</w:t>
            </w:r>
          </w:p>
        </w:tc>
        <w:tc>
          <w:tcPr>
            <w:tcW w:w="1715" w:type="dxa"/>
            <w:vAlign w:val="bottom"/>
          </w:tcPr>
          <w:p w:rsidR="003F1E7D" w:rsidRPr="0052564C" w:rsidRDefault="003F1E7D">
            <w:pPr>
              <w:rPr>
                <w:rFonts w:ascii="Arial" w:hAnsi="Arial" w:cs="Arial"/>
                <w:sz w:val="19"/>
                <w:szCs w:val="19"/>
              </w:rPr>
            </w:pPr>
            <w:r w:rsidRPr="0052564C">
              <w:rPr>
                <w:rFonts w:ascii="Arial" w:hAnsi="Arial" w:cs="Arial"/>
                <w:sz w:val="19"/>
                <w:szCs w:val="19"/>
              </w:rPr>
              <w:t xml:space="preserve"> 605 293 271</w:t>
            </w:r>
          </w:p>
        </w:tc>
        <w:tc>
          <w:tcPr>
            <w:tcW w:w="1303" w:type="dxa"/>
            <w:vAlign w:val="bottom"/>
          </w:tcPr>
          <w:p w:rsidR="003F1E7D" w:rsidRPr="0052564C" w:rsidRDefault="003F1E7D" w:rsidP="0052564C">
            <w:pPr>
              <w:ind w:left="60"/>
              <w:rPr>
                <w:rFonts w:ascii="Arial" w:hAnsi="Arial" w:cs="Arial"/>
                <w:sz w:val="19"/>
                <w:szCs w:val="19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starosty</w:t>
            </w:r>
          </w:p>
        </w:tc>
      </w:tr>
    </w:tbl>
    <w:p w:rsidR="003F1E7D" w:rsidRPr="005662E8" w:rsidRDefault="003F1E7D">
      <w:pPr>
        <w:spacing w:before="360"/>
        <w:rPr>
          <w:rFonts w:ascii="Arial" w:hAnsi="Arial" w:cs="Arial"/>
          <w:sz w:val="18"/>
          <w:szCs w:val="18"/>
        </w:rPr>
      </w:pPr>
      <w:r w:rsidRPr="005662E8">
        <w:rPr>
          <w:rFonts w:ascii="Arial" w:hAnsi="Arial" w:cs="Arial"/>
          <w:sz w:val="18"/>
          <w:szCs w:val="18"/>
          <w:vertAlign w:val="superscript"/>
        </w:rPr>
        <w:t>8</w:t>
      </w:r>
      <w:r w:rsidRPr="005662E8">
        <w:rPr>
          <w:rFonts w:ascii="Arial" w:hAnsi="Arial" w:cs="Arial"/>
          <w:sz w:val="18"/>
          <w:szCs w:val="18"/>
        </w:rPr>
        <w:t xml:space="preserve"> § 7 odst. 1 zákona o požární ochraně</w:t>
      </w:r>
      <w:r>
        <w:rPr>
          <w:noProof/>
        </w:rPr>
        <w:pict>
          <v:shape id="image4.png" o:spid="_x0000_s1032" type="#_x0000_t75" style="position:absolute;margin-left:9pt;margin-top:0;width:0;height:1pt;z-index:251664384;visibility:visible;mso-position-horizontal-relative:text;mso-position-vertical-relative:text">
            <v:imagedata r:id="rId13" o:title=""/>
          </v:shape>
        </w:pict>
      </w:r>
    </w:p>
    <w:p w:rsidR="003F1E7D" w:rsidRPr="005662E8" w:rsidRDefault="003F1E7D">
      <w:pPr>
        <w:spacing w:before="36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Čl. 9</w:t>
      </w:r>
    </w:p>
    <w:p w:rsidR="003F1E7D" w:rsidRPr="005662E8" w:rsidRDefault="003F1E7D">
      <w:pPr>
        <w:spacing w:before="120" w:after="24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Závěrečná a zrušovací ustanovení</w:t>
      </w:r>
    </w:p>
    <w:p w:rsidR="003F1E7D" w:rsidRPr="005662E8" w:rsidRDefault="003F1E7D">
      <w:pPr>
        <w:spacing w:line="244" w:lineRule="auto"/>
        <w:rPr>
          <w:rFonts w:ascii="Arial" w:hAnsi="Arial" w:cs="Arial"/>
          <w:sz w:val="20"/>
          <w:szCs w:val="20"/>
        </w:rPr>
      </w:pPr>
    </w:p>
    <w:p w:rsidR="003F1E7D" w:rsidRPr="005662E8" w:rsidRDefault="003F1E7D">
      <w:pPr>
        <w:spacing w:line="234" w:lineRule="auto"/>
        <w:ind w:left="120" w:right="120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Touto vyhláškou se ruší Požární řád města Vrchlabí ze dne 19.4.1999.</w:t>
      </w:r>
    </w:p>
    <w:p w:rsidR="003F1E7D" w:rsidRPr="005662E8" w:rsidRDefault="003F1E7D">
      <w:pPr>
        <w:spacing w:before="36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Čl. 10</w:t>
      </w:r>
    </w:p>
    <w:p w:rsidR="003F1E7D" w:rsidRPr="005662E8" w:rsidRDefault="003F1E7D">
      <w:pPr>
        <w:spacing w:before="120" w:after="24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Účinnost</w:t>
      </w:r>
    </w:p>
    <w:p w:rsidR="003F1E7D" w:rsidRPr="005662E8" w:rsidRDefault="003F1E7D">
      <w:pPr>
        <w:spacing w:after="1560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19"/>
          <w:szCs w:val="19"/>
        </w:rPr>
        <w:t>Tato vyhláška nabývá účinnosti patnáctým dnem po dni jejího vyhlášení.</w:t>
      </w:r>
    </w:p>
    <w:p w:rsidR="003F1E7D" w:rsidRPr="005662E8" w:rsidRDefault="003F1E7D">
      <w:pPr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Ing. Jan Sobotka</w:t>
      </w:r>
      <w:r>
        <w:rPr>
          <w:rFonts w:ascii="Arial" w:hAnsi="Arial" w:cs="Arial"/>
          <w:sz w:val="20"/>
          <w:szCs w:val="20"/>
        </w:rPr>
        <w:t xml:space="preserve"> v.r.</w:t>
      </w:r>
      <w:r w:rsidRPr="005662E8">
        <w:rPr>
          <w:rFonts w:ascii="Arial" w:hAnsi="Arial" w:cs="Arial"/>
          <w:sz w:val="20"/>
          <w:szCs w:val="20"/>
        </w:rPr>
        <w:tab/>
      </w:r>
      <w:r w:rsidRPr="005662E8">
        <w:rPr>
          <w:rFonts w:ascii="Arial" w:hAnsi="Arial" w:cs="Arial"/>
          <w:sz w:val="20"/>
          <w:szCs w:val="20"/>
        </w:rPr>
        <w:tab/>
      </w:r>
      <w:r w:rsidRPr="005662E8">
        <w:rPr>
          <w:rFonts w:ascii="Arial" w:hAnsi="Arial" w:cs="Arial"/>
          <w:sz w:val="20"/>
          <w:szCs w:val="20"/>
        </w:rPr>
        <w:tab/>
      </w:r>
      <w:r w:rsidRPr="005662E8">
        <w:rPr>
          <w:rFonts w:ascii="Arial" w:hAnsi="Arial" w:cs="Arial"/>
          <w:sz w:val="20"/>
          <w:szCs w:val="20"/>
        </w:rPr>
        <w:tab/>
        <w:t>Alfred Plašil</w:t>
      </w:r>
      <w:r>
        <w:rPr>
          <w:rFonts w:ascii="Arial" w:hAnsi="Arial" w:cs="Arial"/>
          <w:sz w:val="20"/>
          <w:szCs w:val="20"/>
        </w:rPr>
        <w:t xml:space="preserve"> v.r.</w:t>
      </w:r>
      <w:r w:rsidRPr="005662E8">
        <w:rPr>
          <w:rFonts w:ascii="Arial" w:hAnsi="Arial" w:cs="Arial"/>
          <w:sz w:val="20"/>
          <w:szCs w:val="20"/>
        </w:rPr>
        <w:tab/>
      </w:r>
      <w:r w:rsidRPr="005662E8">
        <w:rPr>
          <w:rFonts w:ascii="Arial" w:hAnsi="Arial" w:cs="Arial"/>
          <w:sz w:val="20"/>
          <w:szCs w:val="20"/>
        </w:rPr>
        <w:tab/>
      </w:r>
      <w:r w:rsidRPr="005662E8">
        <w:rPr>
          <w:rFonts w:ascii="Arial" w:hAnsi="Arial" w:cs="Arial"/>
          <w:sz w:val="20"/>
          <w:szCs w:val="20"/>
        </w:rPr>
        <w:tab/>
        <w:t>PhDr. Michal Vávra</w:t>
      </w:r>
      <w:r>
        <w:rPr>
          <w:rFonts w:ascii="Arial" w:hAnsi="Arial" w:cs="Arial"/>
          <w:sz w:val="20"/>
          <w:szCs w:val="20"/>
        </w:rPr>
        <w:t xml:space="preserve"> v.r.</w:t>
      </w:r>
    </w:p>
    <w:p w:rsidR="003F1E7D" w:rsidRDefault="003F1E7D">
      <w:pPr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</w:t>
      </w:r>
      <w:r w:rsidRPr="005662E8">
        <w:rPr>
          <w:rFonts w:ascii="Arial" w:hAnsi="Arial" w:cs="Arial"/>
          <w:sz w:val="20"/>
          <w:szCs w:val="20"/>
        </w:rPr>
        <w:t xml:space="preserve"> starosta</w:t>
      </w:r>
      <w:r w:rsidRPr="005662E8">
        <w:rPr>
          <w:rFonts w:ascii="Arial" w:hAnsi="Arial" w:cs="Arial"/>
          <w:sz w:val="20"/>
          <w:szCs w:val="20"/>
        </w:rPr>
        <w:tab/>
      </w:r>
      <w:r w:rsidRPr="005662E8">
        <w:rPr>
          <w:rFonts w:ascii="Arial" w:hAnsi="Arial" w:cs="Arial"/>
          <w:sz w:val="20"/>
          <w:szCs w:val="20"/>
        </w:rPr>
        <w:tab/>
      </w:r>
      <w:r w:rsidRPr="005662E8">
        <w:rPr>
          <w:rFonts w:ascii="Arial" w:hAnsi="Arial" w:cs="Arial"/>
          <w:sz w:val="20"/>
          <w:szCs w:val="20"/>
        </w:rPr>
        <w:tab/>
      </w:r>
      <w:r w:rsidRPr="005662E8">
        <w:rPr>
          <w:rFonts w:ascii="Arial" w:hAnsi="Arial" w:cs="Arial"/>
          <w:sz w:val="20"/>
          <w:szCs w:val="20"/>
        </w:rPr>
        <w:tab/>
      </w:r>
      <w:r w:rsidRPr="005662E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5662E8">
        <w:rPr>
          <w:rFonts w:ascii="Arial" w:hAnsi="Arial" w:cs="Arial"/>
          <w:sz w:val="20"/>
          <w:szCs w:val="20"/>
        </w:rPr>
        <w:t>místostarosta</w:t>
      </w:r>
      <w:r w:rsidRPr="005662E8">
        <w:rPr>
          <w:rFonts w:ascii="Arial" w:hAnsi="Arial" w:cs="Arial"/>
          <w:sz w:val="20"/>
          <w:szCs w:val="20"/>
        </w:rPr>
        <w:tab/>
      </w:r>
      <w:r w:rsidRPr="005662E8">
        <w:rPr>
          <w:rFonts w:ascii="Arial" w:hAnsi="Arial" w:cs="Arial"/>
          <w:sz w:val="20"/>
          <w:szCs w:val="20"/>
        </w:rPr>
        <w:tab/>
      </w:r>
      <w:r w:rsidRPr="005662E8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5662E8">
        <w:rPr>
          <w:rFonts w:ascii="Arial" w:hAnsi="Arial" w:cs="Arial"/>
          <w:sz w:val="20"/>
          <w:szCs w:val="20"/>
        </w:rPr>
        <w:t xml:space="preserve"> místostarosta</w:t>
      </w:r>
    </w:p>
    <w:p w:rsidR="003F1E7D" w:rsidRDefault="003F1E7D">
      <w:pPr>
        <w:rPr>
          <w:rFonts w:ascii="Arial" w:hAnsi="Arial" w:cs="Arial"/>
          <w:sz w:val="18"/>
          <w:szCs w:val="18"/>
        </w:rPr>
      </w:pPr>
    </w:p>
    <w:sectPr w:rsidR="003F1E7D" w:rsidSect="005662E8">
      <w:pgSz w:w="11900" w:h="16838"/>
      <w:pgMar w:top="1365" w:right="1426" w:bottom="854" w:left="1020" w:header="0" w:footer="0" w:gutter="0"/>
      <w:pgNumType w:start="1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E7D" w:rsidRDefault="003F1E7D">
      <w:r>
        <w:separator/>
      </w:r>
    </w:p>
  </w:endnote>
  <w:endnote w:type="continuationSeparator" w:id="0">
    <w:p w:rsidR="003F1E7D" w:rsidRDefault="003F1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E7D" w:rsidRDefault="003F1E7D">
      <w:r>
        <w:separator/>
      </w:r>
    </w:p>
  </w:footnote>
  <w:footnote w:type="continuationSeparator" w:id="0">
    <w:p w:rsidR="003F1E7D" w:rsidRDefault="003F1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2DE"/>
    <w:multiLevelType w:val="multilevel"/>
    <w:tmpl w:val="A3CEB5E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DC52F8"/>
    <w:multiLevelType w:val="multilevel"/>
    <w:tmpl w:val="84E025E2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8634784"/>
    <w:multiLevelType w:val="multilevel"/>
    <w:tmpl w:val="B8B46D9C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81201"/>
    <w:multiLevelType w:val="multilevel"/>
    <w:tmpl w:val="DCECFA44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F407B"/>
    <w:multiLevelType w:val="multilevel"/>
    <w:tmpl w:val="049E6C4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34A53DB"/>
    <w:multiLevelType w:val="multilevel"/>
    <w:tmpl w:val="9460B12C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B04C13"/>
    <w:multiLevelType w:val="multilevel"/>
    <w:tmpl w:val="97B69B38"/>
    <w:lvl w:ilvl="0">
      <w:start w:val="1"/>
      <w:numFmt w:val="decimal"/>
      <w:lvlText w:val="%1"/>
      <w:lvlJc w:val="left"/>
      <w:rPr>
        <w:rFonts w:cs="Times New Roman"/>
      </w:rPr>
    </w:lvl>
    <w:lvl w:ilvl="1">
      <w:start w:val="3"/>
      <w:numFmt w:val="lowerLetter"/>
      <w:lvlText w:val="%2)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D005DFC"/>
    <w:multiLevelType w:val="multilevel"/>
    <w:tmpl w:val="AB8CCEB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301967"/>
    <w:multiLevelType w:val="multilevel"/>
    <w:tmpl w:val="7EC6E202"/>
    <w:lvl w:ilvl="0">
      <w:start w:val="1"/>
      <w:numFmt w:val="lowerLetter"/>
      <w:lvlText w:val="%1)"/>
      <w:lvlJc w:val="left"/>
      <w:pPr>
        <w:ind w:left="56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A45AA3"/>
    <w:multiLevelType w:val="multilevel"/>
    <w:tmpl w:val="B010C662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52159"/>
    <w:multiLevelType w:val="multilevel"/>
    <w:tmpl w:val="0FC422C4"/>
    <w:lvl w:ilvl="0">
      <w:start w:val="8"/>
      <w:numFmt w:val="decimal"/>
      <w:lvlText w:val="%1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1467905"/>
    <w:multiLevelType w:val="multilevel"/>
    <w:tmpl w:val="2F788014"/>
    <w:lvl w:ilvl="0">
      <w:start w:val="1"/>
      <w:numFmt w:val="decimal"/>
      <w:lvlText w:val="%1)"/>
      <w:lvlJc w:val="left"/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6C2696"/>
    <w:multiLevelType w:val="multilevel"/>
    <w:tmpl w:val="0A584F2C"/>
    <w:lvl w:ilvl="0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6F6C5293"/>
    <w:multiLevelType w:val="multilevel"/>
    <w:tmpl w:val="4E5ED76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1"/>
  </w:num>
  <w:num w:numId="5">
    <w:abstractNumId w:val="13"/>
  </w:num>
  <w:num w:numId="6">
    <w:abstractNumId w:val="5"/>
  </w:num>
  <w:num w:numId="7">
    <w:abstractNumId w:val="7"/>
  </w:num>
  <w:num w:numId="8">
    <w:abstractNumId w:val="0"/>
  </w:num>
  <w:num w:numId="9">
    <w:abstractNumId w:val="12"/>
  </w:num>
  <w:num w:numId="10">
    <w:abstractNumId w:val="9"/>
  </w:num>
  <w:num w:numId="11">
    <w:abstractNumId w:val="2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72A"/>
    <w:rsid w:val="00016094"/>
    <w:rsid w:val="0002667F"/>
    <w:rsid w:val="00042B47"/>
    <w:rsid w:val="000E144B"/>
    <w:rsid w:val="0012172A"/>
    <w:rsid w:val="002444C0"/>
    <w:rsid w:val="00272DF1"/>
    <w:rsid w:val="00275AA4"/>
    <w:rsid w:val="002F7103"/>
    <w:rsid w:val="00314815"/>
    <w:rsid w:val="003B5D86"/>
    <w:rsid w:val="003F1E7D"/>
    <w:rsid w:val="00403F0C"/>
    <w:rsid w:val="00461108"/>
    <w:rsid w:val="0052564C"/>
    <w:rsid w:val="00553E9D"/>
    <w:rsid w:val="005662E8"/>
    <w:rsid w:val="00590BD8"/>
    <w:rsid w:val="0069788A"/>
    <w:rsid w:val="006A22A1"/>
    <w:rsid w:val="009F5EEA"/>
    <w:rsid w:val="00B96627"/>
    <w:rsid w:val="00C113EE"/>
    <w:rsid w:val="00D04475"/>
    <w:rsid w:val="00D1711A"/>
    <w:rsid w:val="00DD56BE"/>
    <w:rsid w:val="00ED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103"/>
  </w:style>
  <w:style w:type="paragraph" w:styleId="Heading1">
    <w:name w:val="heading 1"/>
    <w:basedOn w:val="Normal"/>
    <w:next w:val="Normal"/>
    <w:link w:val="Heading1Char"/>
    <w:uiPriority w:val="99"/>
    <w:qFormat/>
    <w:rsid w:val="00D044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44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44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44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447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44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D044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0447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99"/>
    <w:qFormat/>
    <w:rsid w:val="002F7103"/>
    <w:pPr>
      <w:ind w:left="720"/>
      <w:contextualSpacing/>
    </w:pPr>
  </w:style>
  <w:style w:type="table" w:styleId="TableGrid">
    <w:name w:val="Table Grid"/>
    <w:basedOn w:val="TableNormal"/>
    <w:uiPriority w:val="99"/>
    <w:rsid w:val="002F71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F7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710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7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710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F71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71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F710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7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71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F7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710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D0447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table" w:customStyle="1" w:styleId="Styl">
    <w:name w:val="Styl"/>
    <w:basedOn w:val="TableNormal1"/>
    <w:uiPriority w:val="99"/>
    <w:rsid w:val="00D0447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5">
    <w:name w:val="Styl5"/>
    <w:basedOn w:val="TableNormal1"/>
    <w:uiPriority w:val="99"/>
    <w:rsid w:val="00D0447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4">
    <w:name w:val="Styl4"/>
    <w:basedOn w:val="TableNormal1"/>
    <w:uiPriority w:val="99"/>
    <w:rsid w:val="00D0447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3">
    <w:name w:val="Styl3"/>
    <w:basedOn w:val="TableNormal1"/>
    <w:uiPriority w:val="99"/>
    <w:rsid w:val="00D0447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2">
    <w:name w:val="Styl2"/>
    <w:basedOn w:val="TableNormal1"/>
    <w:uiPriority w:val="99"/>
    <w:rsid w:val="00D0447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basedOn w:val="TableNormal1"/>
    <w:uiPriority w:val="99"/>
    <w:rsid w:val="00D0447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5</Pages>
  <Words>1570</Words>
  <Characters>9266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Vrchlabí</dc:title>
  <dc:subject/>
  <dc:creator>Windows User</dc:creator>
  <cp:keywords/>
  <dc:description/>
  <cp:lastModifiedBy>Munzarovaeva</cp:lastModifiedBy>
  <cp:revision>13</cp:revision>
  <cp:lastPrinted>2023-05-30T10:52:00Z</cp:lastPrinted>
  <dcterms:created xsi:type="dcterms:W3CDTF">2023-06-22T07:47:00Z</dcterms:created>
  <dcterms:modified xsi:type="dcterms:W3CDTF">2023-06-22T08:33:00Z</dcterms:modified>
</cp:coreProperties>
</file>