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OBEC Cidlina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Cidlina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Cidlina 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Zkladntextodsazen21"/>
        <w:ind w:left="0" w:right="0" w:hanging="0"/>
        <w:rPr/>
      </w:pPr>
      <w:r>
        <w:rPr>
          <w:rFonts w:cs="Arial" w:ascii="Arial" w:hAnsi="Arial"/>
          <w:sz w:val="22"/>
          <w:szCs w:val="22"/>
        </w:rPr>
        <w:t>Zastupitelstvo obce Cidlina se na svém zasedání dne 1</w:t>
      </w:r>
      <w:r>
        <w:rPr>
          <w:rFonts w:cs="Arial" w:ascii="Arial" w:hAnsi="Arial"/>
          <w:sz w:val="22"/>
          <w:szCs w:val="22"/>
          <w:shd w:fill="auto" w:val="clear"/>
        </w:rPr>
        <w:t xml:space="preserve">3.08.2025 </w:t>
      </w:r>
      <w:r>
        <w:rPr>
          <w:rFonts w:cs="Arial" w:ascii="Arial" w:hAnsi="Arial"/>
          <w:sz w:val="22"/>
          <w:szCs w:val="22"/>
        </w:rPr>
        <w:t xml:space="preserve">usnesením č. </w:t>
      </w:r>
      <w:r>
        <w:rPr>
          <w:rFonts w:cs="Arial" w:ascii="Arial" w:hAnsi="Arial"/>
          <w:sz w:val="22"/>
          <w:szCs w:val="22"/>
          <w:shd w:fill="auto" w:val="clear"/>
        </w:rPr>
        <w:t>103/2025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</w:tabs>
        <w:ind w:left="0" w:right="0" w:hanging="426"/>
        <w:jc w:val="both"/>
        <w:rPr/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Cidlina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-142" w:leader="none"/>
        </w:tabs>
        <w:autoSpaceDE w:val="false"/>
        <w:ind w:left="0" w:right="0" w:hanging="426"/>
        <w:jc w:val="both"/>
        <w:rPr/>
      </w:pPr>
      <w:r>
        <w:rPr>
          <w:rFonts w:eastAsia="Arial"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-142" w:leader="none"/>
        </w:tabs>
        <w:autoSpaceDE w:val="false"/>
        <w:ind w:left="0" w:right="0" w:hanging="426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-142" w:leader="none"/>
        </w:tabs>
        <w:autoSpaceDE w:val="false"/>
        <w:ind w:left="0" w:right="0" w:hanging="426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seseznamem"/>
        <w:numPr>
          <w:ilvl w:val="0"/>
          <w:numId w:val="9"/>
        </w:numPr>
        <w:autoSpaceDE w:val="false"/>
        <w:spacing w:lineRule="auto" w:line="240" w:before="0" w:after="0"/>
        <w:contextualSpacing/>
        <w:rPr/>
      </w:pPr>
      <w:r>
        <w:rPr>
          <w:rFonts w:cs="Arial" w:ascii="Arial" w:hAnsi="Arial"/>
          <w:bCs/>
          <w:color w:val="000000"/>
        </w:rPr>
        <w:t>Biologické odpady</w:t>
      </w:r>
      <w:r>
        <w:rPr>
          <w:rFonts w:cs="Arial" w:ascii="Arial" w:hAnsi="Arial"/>
          <w:bCs/>
        </w:rPr>
        <w:t>,</w:t>
      </w:r>
    </w:p>
    <w:p>
      <w:pPr>
        <w:pStyle w:val="Odstavecseseznamem"/>
        <w:numPr>
          <w:ilvl w:val="0"/>
          <w:numId w:val="9"/>
        </w:numPr>
        <w:tabs>
          <w:tab w:val="clear" w:pos="708"/>
          <w:tab w:val="left" w:pos="567" w:leader="none"/>
        </w:tabs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Papír,</w:t>
      </w:r>
    </w:p>
    <w:p>
      <w:pPr>
        <w:pStyle w:val="Odstavecseseznamem"/>
        <w:numPr>
          <w:ilvl w:val="0"/>
          <w:numId w:val="9"/>
        </w:numPr>
        <w:tabs>
          <w:tab w:val="clear" w:pos="708"/>
          <w:tab w:val="left" w:pos="567" w:leader="none"/>
        </w:tabs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Plasty včetně PET lahví,</w:t>
      </w:r>
    </w:p>
    <w:p>
      <w:pPr>
        <w:pStyle w:val="Odstavecseseznamem"/>
        <w:numPr>
          <w:ilvl w:val="0"/>
          <w:numId w:val="9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Sklo,</w:t>
      </w:r>
    </w:p>
    <w:p>
      <w:pPr>
        <w:pStyle w:val="Odstavecseseznamem"/>
        <w:numPr>
          <w:ilvl w:val="0"/>
          <w:numId w:val="9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Kovy,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Jedlé oleje a tuky,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Textil </w:t>
      </w:r>
    </w:p>
    <w:p>
      <w:pPr>
        <w:pStyle w:val="Normal"/>
        <w:numPr>
          <w:ilvl w:val="0"/>
          <w:numId w:val="9"/>
        </w:numPr>
        <w:rPr/>
      </w:pPr>
      <w:r>
        <w:rPr>
          <w:rFonts w:cs="Arial" w:ascii="Arial" w:hAnsi="Arial"/>
          <w:sz w:val="22"/>
          <w:szCs w:val="22"/>
        </w:rPr>
        <w:t>Směsný komunální odpad</w:t>
      </w:r>
      <w:r>
        <w:rPr>
          <w:rFonts w:eastAsia="Arial" w:cs="Arial" w:ascii="Arial" w:hAnsi="Arial"/>
          <w:color w:val="00B0F0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Odsazentlatextu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h), i).</w:t>
      </w:r>
    </w:p>
    <w:p>
      <w:pPr>
        <w:pStyle w:val="Odsazentlatextu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(např. koberce, matrace, nábytek,… ).</w:t>
      </w:r>
    </w:p>
    <w:p>
      <w:pPr>
        <w:pStyle w:val="Odsazentlatextu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right="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color w:val="000000"/>
          <w:sz w:val="22"/>
          <w:szCs w:val="22"/>
        </w:rPr>
        <w:t>kontejnery, sběrné nádoby a velkoobjemové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autoSpaceDE w:val="true"/>
        <w:spacing w:lineRule="auto" w:line="240"/>
        <w:ind w:left="0" w:righ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/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Areál ADW u č. p. 55 - papír, plasty, kovy, sklo, textil, biologický odpad, drobné elektro, znečištěné obaly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Autobusová zastávka SAMOTA (směr Želetava) – papír, plasty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/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Sběrný dvůr TSMB s.r.o., </w:t>
      </w:r>
      <w:r>
        <w:rPr>
          <w:rFonts w:cs="Arial" w:ascii="Arial" w:hAnsi="Arial"/>
          <w:color w:val="202124"/>
          <w:sz w:val="22"/>
          <w:szCs w:val="22"/>
          <w:shd w:fill="auto" w:val="clear"/>
        </w:rPr>
        <w:t>Dopravní 1334, 676 02 Moravské Budějovice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a Sběrný dvůr Želetava, ul. </w:t>
      </w:r>
      <w:r>
        <w:rPr>
          <w:rFonts w:cs="Arial" w:ascii="Arial" w:hAnsi="Arial"/>
          <w:color w:val="202124"/>
          <w:sz w:val="22"/>
          <w:szCs w:val="22"/>
          <w:shd w:fill="auto" w:val="clear"/>
        </w:rPr>
        <w:t xml:space="preserve">9. května, 675 26 Želetava – jedlé oleje a tuky, textil, papír, plasty, sklo, kovy, elektro, znečištěné obaly, velkoobjemový odpad a </w:t>
      </w:r>
      <w:r>
        <w:rPr>
          <w:rFonts w:cs="Arial" w:ascii="Arial" w:hAnsi="Arial"/>
          <w:sz w:val="22"/>
          <w:szCs w:val="22"/>
          <w:shd w:fill="auto" w:val="clear"/>
        </w:rPr>
        <w:t>demoliční suť do 300kg/os/rok.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lnIMP"/>
        <w:numPr>
          <w:ilvl w:val="0"/>
          <w:numId w:val="1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autoSpaceDE w:val="true"/>
        <w:spacing w:lineRule="auto" w:line="240"/>
        <w:ind w:left="0" w:righ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Biologické odpady, velkoobjemový kontejner, 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Papír, barva modrá,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/>
      </w:pPr>
      <w:r>
        <w:rPr>
          <w:rFonts w:cs="Arial" w:ascii="Arial" w:hAnsi="Arial"/>
          <w:bCs/>
          <w:color w:val="000000"/>
        </w:rPr>
        <w:t>Plasty, PET lahve, barva  žlutá</w:t>
      </w:r>
      <w:r>
        <w:rPr>
          <w:rFonts w:cs="Arial" w:ascii="Arial" w:hAnsi="Arial"/>
          <w:bCs/>
          <w:color w:val="FF0000"/>
        </w:rPr>
        <w:t>,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Sklo, barva bílá sklo čiré, barva zelená sklo barevné,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Kovy, barva stříbrná,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Drobné elektro, plastová popelnice, barva červená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Znečištěné obaly, plastová popelnice, barva černá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Textil, bílý kontejner</w:t>
      </w:r>
    </w:p>
    <w:p>
      <w:pPr>
        <w:pStyle w:val="Normal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2"/>
        <w:jc w:val="center"/>
        <w:rPr/>
      </w:pPr>
      <w:r>
        <w:rPr>
          <w:rFonts w:eastAsia="Arial"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 místním rozhlase.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Nebezpečný odpad lze také odevzdávat ve sběrném dvoře, který je umístěn v </w:t>
      </w:r>
      <w:r>
        <w:rPr>
          <w:rFonts w:cs="Arial" w:ascii="Arial" w:hAnsi="Arial"/>
          <w:color w:val="000000"/>
          <w:sz w:val="22"/>
          <w:szCs w:val="22"/>
        </w:rPr>
        <w:t xml:space="preserve">TSMB s.r.o., </w:t>
      </w:r>
      <w:r>
        <w:rPr>
          <w:rFonts w:cs="Arial" w:ascii="Arial" w:hAnsi="Arial"/>
          <w:color w:val="202124"/>
          <w:sz w:val="22"/>
          <w:szCs w:val="22"/>
        </w:rPr>
        <w:t>Dopravní 1334, 676 02 Moravské Budějovice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a v Želetavě, ul. </w:t>
      </w:r>
      <w:r>
        <w:rPr>
          <w:rFonts w:cs="Arial" w:ascii="Arial" w:hAnsi="Arial"/>
          <w:color w:val="202124"/>
          <w:sz w:val="22"/>
          <w:szCs w:val="22"/>
        </w:rPr>
        <w:t>9. května, 675 26 Želetava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Normal"/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right="0" w:hanging="0"/>
        <w:jc w:val="both"/>
        <w:rPr>
          <w:rFonts w:ascii="Arial" w:hAnsi="Arial" w:eastAsia="Arial" w:cs="Arial"/>
          <w:color w:val="00B0F0"/>
          <w:sz w:val="22"/>
          <w:szCs w:val="22"/>
        </w:rPr>
      </w:pPr>
      <w:r>
        <w:rPr>
          <w:rFonts w:eastAsia="Arial" w:cs="Arial" w:ascii="Arial" w:hAnsi="Arial"/>
          <w:color w:val="00B0F0"/>
          <w:sz w:val="22"/>
          <w:szCs w:val="22"/>
        </w:rPr>
        <w:t xml:space="preserve"> 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jedenkrát ročně jeho odebíráním na předem vyhlášených přechodných stanovištích přímo do zvláštních sběrných nádob k tomuto účelu určených. Informace o svozu jsou zveřejňovány v místním rozhlase.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Objemný odpad lze také odevzdávat ve sběrném dvoře, který je umístěn v </w:t>
      </w:r>
      <w:r>
        <w:rPr>
          <w:rFonts w:cs="Arial" w:ascii="Arial" w:hAnsi="Arial"/>
          <w:color w:val="000000"/>
          <w:sz w:val="22"/>
          <w:szCs w:val="22"/>
        </w:rPr>
        <w:t xml:space="preserve">TSMB s.r.o., </w:t>
      </w:r>
      <w:r>
        <w:rPr>
          <w:rFonts w:cs="Arial" w:ascii="Arial" w:hAnsi="Arial"/>
          <w:color w:val="202124"/>
          <w:sz w:val="22"/>
          <w:szCs w:val="22"/>
        </w:rPr>
        <w:t>Dopravní 1334, 676 02 Moravské Budějovice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a v Želetavě, ul. </w:t>
      </w:r>
      <w:r>
        <w:rPr>
          <w:rFonts w:cs="Arial" w:ascii="Arial" w:hAnsi="Arial"/>
          <w:color w:val="202124"/>
          <w:sz w:val="22"/>
          <w:szCs w:val="22"/>
        </w:rPr>
        <w:t>9. května, 675 26 Želetava</w:t>
      </w:r>
      <w:r>
        <w:rPr>
          <w:rFonts w:cs="Arial" w:ascii="Arial" w:hAnsi="Arial"/>
          <w:color w:val="000000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lnIMP"/>
        <w:suppressAutoHyphens w:val="false"/>
        <w:overflowPunct w:val="true"/>
        <w:autoSpaceDE w:val="true"/>
        <w:spacing w:lineRule="auto" w:line="240"/>
        <w:textAlignment w:val="auto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 popelnice. Interval svozu směsného komunálního odpadu je v čtrnáctidenních cyklech v předem stanovený den, který bude oznámen na úřední desce a vyhlášen místním rozhlasem.</w:t>
      </w:r>
    </w:p>
    <w:p>
      <w:pPr>
        <w:pStyle w:val="Normal"/>
        <w:ind w:left="360" w:right="0" w:firstLine="66"/>
        <w:jc w:val="both"/>
        <w:rPr>
          <w:rFonts w:ascii="Arial" w:hAnsi="Arial" w:cs="Arial"/>
          <w:bCs/>
          <w:color w:val="00B0F0"/>
          <w:sz w:val="22"/>
          <w:szCs w:val="22"/>
        </w:rPr>
      </w:pPr>
      <w:r>
        <w:rPr>
          <w:rFonts w:cs="Arial" w:ascii="Arial" w:hAnsi="Arial"/>
          <w:bCs/>
          <w:color w:val="00B0F0"/>
          <w:sz w:val="22"/>
          <w:szCs w:val="22"/>
        </w:rPr>
      </w:r>
    </w:p>
    <w:p>
      <w:pPr>
        <w:pStyle w:val="Normal"/>
        <w:numPr>
          <w:ilvl w:val="0"/>
          <w:numId w:val="8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 čl.2 odst.2 a v čl. 3 odst. 4 a 5. </w:t>
      </w:r>
    </w:p>
    <w:p>
      <w:pPr>
        <w:pStyle w:val="Default"/>
        <w:ind w:left="360" w:right="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adpis2"/>
        <w:jc w:val="center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3"/>
        </w:numPr>
        <w:ind w:left="284" w:right="0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Právnické a podnikající fyzické osoby zapojené do obecního systému na základě smlouvy s obcí komunální odpad dle čl. 2 odst. 1 písm. b), c), d), e), f), g) předávají dle čl. 3, čl. 5 a čl. 6.</w:t>
      </w:r>
    </w:p>
    <w:p>
      <w:pPr>
        <w:pStyle w:val="Normal"/>
        <w:ind w:left="72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ind w:left="284" w:right="0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Výše úhrady za zapojení do obecního systému se stanoví na základě ceníku schváleného zastupitelstvem obce a zveřejněného na www stránkách obce Cidlina.</w:t>
      </w:r>
    </w:p>
    <w:p>
      <w:pPr>
        <w:pStyle w:val="Normal"/>
        <w:ind w:left="72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ind w:left="284" w:right="0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Úhrada se vybírá jednorázově, a to nejpozději do 30.4. příslušného kalendářního roku a to v hotovosti nebo převodem na účet obce. </w:t>
      </w:r>
    </w:p>
    <w:p>
      <w:pPr>
        <w:pStyle w:val="Normal"/>
        <w:ind w:left="72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B0F0"/>
          <w:sz w:val="22"/>
          <w:szCs w:val="22"/>
        </w:rPr>
      </w:pPr>
      <w:r>
        <w:rPr>
          <w:rFonts w:cs="Arial" w:ascii="Arial" w:hAnsi="Arial"/>
          <w:b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Závěrečná ustanovení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lnIMP"/>
        <w:numPr>
          <w:ilvl w:val="0"/>
          <w:numId w:val="11"/>
        </w:numPr>
        <w:spacing w:lineRule="auto" w:line="240"/>
        <w:rPr/>
      </w:pPr>
      <w:r>
        <w:rPr>
          <w:rFonts w:cs="Arial" w:ascii="Arial" w:hAnsi="Arial"/>
          <w:sz w:val="22"/>
          <w:szCs w:val="22"/>
        </w:rPr>
        <w:t xml:space="preserve">Nabytím účinnosti této vyhlášky se zrušuje obecně závazná vyhláška obce č. 2/2021, </w:t>
      </w:r>
      <w:r>
        <w:rPr>
          <w:rFonts w:cs="Arial" w:ascii="Arial" w:hAnsi="Arial"/>
          <w:bCs/>
          <w:color w:val="000000"/>
          <w:sz w:val="22"/>
          <w:szCs w:val="22"/>
        </w:rPr>
        <w:t>o stanovení obecního systému odpadového hospodářství, ze dne 8. 12. 2021.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patnáctým dnem po dni jejího vyhlášení.</w:t>
      </w:r>
    </w:p>
    <w:p>
      <w:pPr>
        <w:pStyle w:val="Normal"/>
        <w:tabs>
          <w:tab w:val="clear" w:pos="708"/>
          <w:tab w:val="left" w:pos="540" w:leader="none"/>
        </w:tabs>
        <w:ind w:left="54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0" w:right="0"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left="0" w:right="0"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bCs/>
          <w:sz w:val="22"/>
          <w:szCs w:val="22"/>
        </w:rPr>
        <w:t xml:space="preserve">  </w:t>
      </w:r>
      <w:r>
        <w:rPr>
          <w:rFonts w:cs="Arial" w:ascii="Arial" w:hAnsi="Arial"/>
          <w:bCs/>
          <w:sz w:val="22"/>
          <w:szCs w:val="22"/>
        </w:rPr>
        <w:t>Jana Šteflíčková v.r.</w:t>
        <w:tab/>
        <w:tab/>
        <w:tab/>
        <w:tab/>
        <w:tab/>
        <w:tab/>
        <w:t xml:space="preserve">        Libor Veselý v.r.</w:t>
        <w:tab/>
      </w:r>
    </w:p>
    <w:p>
      <w:pPr>
        <w:pStyle w:val="Normal"/>
        <w:rPr/>
      </w:pPr>
      <w:r>
        <w:rPr>
          <w:rFonts w:eastAsia="Arial" w:cs="Arial" w:ascii="Arial" w:hAnsi="Arial"/>
          <w:bCs/>
          <w:sz w:val="22"/>
          <w:szCs w:val="22"/>
        </w:rPr>
        <w:t xml:space="preserve">       </w:t>
      </w: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ab/>
        <w:t xml:space="preserve">     ………….………………..</w:t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bCs/>
          <w:sz w:val="22"/>
          <w:szCs w:val="22"/>
        </w:rPr>
        <w:t xml:space="preserve">    </w:t>
      </w:r>
      <w:r>
        <w:rPr>
          <w:rFonts w:eastAsia="Arial" w:cs="Arial" w:ascii="Arial" w:hAnsi="Arial"/>
          <w:bCs/>
          <w:sz w:val="22"/>
          <w:szCs w:val="22"/>
        </w:rPr>
        <w:t>jméno a příjmení</w:t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  <w:t xml:space="preserve">           jméno a příjmení</w:t>
      </w:r>
    </w:p>
    <w:p>
      <w:pPr>
        <w:pStyle w:val="Normal"/>
        <w:ind w:left="708" w:right="0" w:hanging="0"/>
        <w:rPr/>
      </w:pPr>
      <w:r>
        <w:rPr>
          <w:rFonts w:eastAsia="Arial" w:cs="Arial" w:ascii="Arial" w:hAnsi="Arial"/>
          <w:bCs/>
          <w:sz w:val="22"/>
          <w:szCs w:val="22"/>
        </w:rPr>
        <w:t xml:space="preserve">      </w:t>
      </w: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 xml:space="preserve">                 starosta</w:t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i/>
        <w:szCs w:val="22"/>
        <w:iCs/>
        <w:bCs/>
        <w:rFonts w:ascii="Arial" w:hAnsi="Arial" w:cs="Arial"/>
        <w:color w:val="000000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i w:val="false"/>
        <w:szCs w:val="22"/>
        <w:iCs w:val="false"/>
        <w:rFonts w:ascii="Arial" w:hAnsi="Arial" w:cs="Arial"/>
        <w:color w:val="auto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i w:val="false"/>
        <w:szCs w:val="22"/>
        <w:iCs w:val="false"/>
        <w:rFonts w:ascii="Arial" w:hAnsi="Arial" w:cs="Arial"/>
        <w:color w:val="auto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i/>
        <w:szCs w:val="22"/>
        <w:iCs w:val="false"/>
        <w:rFonts w:ascii="Arial" w:hAnsi="Arial" w:cs="Arial"/>
        <w:color w:val="000000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i w:val="false"/>
        <w:szCs w:val="22"/>
        <w:iCs/>
        <w:rFonts w:ascii="Arial" w:hAnsi="Arial" w:cs="Arial"/>
        <w:color w:val="000000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sz w:val="22"/>
        <w:spacing w:val="0"/>
        <w:i w:val="false"/>
        <w:b w:val="false"/>
        <w:szCs w:val="22"/>
        <w:iCs/>
        <w:rFonts w:ascii="Arial" w:hAnsi="Arial" w:cs="Arial"/>
        <w:color w:val="auto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sz w:val="22"/>
        <w:i w:val="false"/>
        <w:szCs w:val="22"/>
        <w:iCs w:val="false"/>
        <w:rFonts w:ascii="Arial" w:hAnsi="Arial" w:cs="Arial"/>
        <w:color w:val="000000"/>
      </w:r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sz w:val="22"/>
        <w:i/>
        <w:szCs w:val="22"/>
        <w:iCs w:val="false"/>
        <w:bCs/>
        <w:rFonts w:ascii="Arial" w:hAnsi="Arial" w:eastAsia="Times New Roman" w:cs="Times New Roman"/>
        <w:color w:val="000000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mallCaps w:val="false"/>
        <w:caps w:val="false"/>
        <w:sz w:val="22"/>
        <w:spacing w:val="0"/>
        <w:i/>
        <w:u w:val="none"/>
        <w:b w:val="false"/>
        <w:szCs w:val="22"/>
        <w:iCs w:val="false"/>
        <w:rFonts w:ascii="Arial" w:hAnsi="Arial" w:cs="Arial"/>
        <w:color w:val="auto"/>
      </w:r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bCs/>
      <w:i/>
      <w:iCs/>
      <w:color w:val="000000"/>
      <w:sz w:val="22"/>
      <w:szCs w:val="22"/>
    </w:rPr>
  </w:style>
  <w:style w:type="character" w:styleId="WW8Num3z0">
    <w:name w:val="WW8Num3z0"/>
    <w:qFormat/>
    <w:rPr>
      <w:rFonts w:ascii="Arial" w:hAnsi="Arial" w:cs="Arial"/>
      <w:i w:val="false"/>
      <w:iCs w:val="false"/>
      <w:color w:val="auto"/>
      <w:sz w:val="22"/>
      <w:szCs w:val="22"/>
    </w:rPr>
  </w:style>
  <w:style w:type="character" w:styleId="WW8Num4z0">
    <w:name w:val="WW8Num4z0"/>
    <w:qFormat/>
    <w:rPr>
      <w:rFonts w:ascii="Arial" w:hAnsi="Arial" w:cs="Arial"/>
      <w:i w:val="false"/>
      <w:iCs w:val="false"/>
      <w:color w:val="auto"/>
      <w:sz w:val="22"/>
      <w:szCs w:val="22"/>
    </w:rPr>
  </w:style>
  <w:style w:type="character" w:styleId="WW8Num5z0">
    <w:name w:val="WW8Num5z0"/>
    <w:qFormat/>
    <w:rPr>
      <w:rFonts w:ascii="Arial" w:hAnsi="Arial" w:cs="Arial"/>
      <w:i/>
      <w:iCs w:val="false"/>
      <w:color w:val="000000"/>
      <w:sz w:val="22"/>
      <w:szCs w:val="22"/>
    </w:rPr>
  </w:style>
  <w:style w:type="character" w:styleId="WW8Num6z0">
    <w:name w:val="WW8Num6z0"/>
    <w:qFormat/>
    <w:rPr>
      <w:rFonts w:ascii="Arial" w:hAnsi="Arial" w:cs="Arial"/>
      <w:i w:val="false"/>
      <w:iCs/>
      <w:color w:val="000000"/>
      <w:sz w:val="22"/>
      <w:szCs w:val="22"/>
    </w:rPr>
  </w:style>
  <w:style w:type="character" w:styleId="WW8Num7z0">
    <w:name w:val="WW8Num7z0"/>
    <w:qFormat/>
    <w:rPr>
      <w:rFonts w:ascii="Arial" w:hAnsi="Arial" w:cs="Arial"/>
      <w:b w:val="false"/>
      <w:i w:val="false"/>
      <w:iCs/>
      <w:caps w:val="false"/>
      <w:smallCaps w:val="false"/>
      <w:color w:val="auto"/>
      <w:spacing w:val="0"/>
      <w:sz w:val="22"/>
      <w:szCs w:val="22"/>
    </w:rPr>
  </w:style>
  <w:style w:type="character" w:styleId="WW8Num8z0">
    <w:name w:val="WW8Num8z0"/>
    <w:qFormat/>
    <w:rPr>
      <w:rFonts w:ascii="Arial" w:hAnsi="Arial" w:cs="Arial"/>
      <w:i w:val="false"/>
      <w:iCs w:val="false"/>
      <w:strike w:val="false"/>
      <w:dstrike w:val="false"/>
      <w:color w:val="000000"/>
      <w:sz w:val="22"/>
      <w:szCs w:val="22"/>
    </w:rPr>
  </w:style>
  <w:style w:type="character" w:styleId="WW8Num9z0">
    <w:name w:val="WW8Num9z0"/>
    <w:qFormat/>
    <w:rPr>
      <w:rFonts w:ascii="Arial" w:hAnsi="Arial" w:eastAsia="Times New Roman" w:cs="Times New Roman"/>
      <w:bCs/>
      <w:i/>
      <w:iCs w:val="false"/>
      <w:color w:val="000000"/>
      <w:sz w:val="22"/>
      <w:szCs w:val="22"/>
    </w:rPr>
  </w:style>
  <w:style w:type="character" w:styleId="WW8Num10z0">
    <w:name w:val="WW8Num10z0"/>
    <w:qFormat/>
    <w:rPr>
      <w:rFonts w:ascii="Arial" w:hAnsi="Arial" w:cs="Arial"/>
      <w:b w:val="false"/>
      <w:i/>
      <w:iCs w:val="false"/>
      <w:caps w:val="false"/>
      <w:smallCaps w:val="false"/>
      <w:color w:val="auto"/>
      <w:spacing w:val="0"/>
      <w:sz w:val="22"/>
      <w:szCs w:val="22"/>
      <w:u w:val="none"/>
    </w:rPr>
  </w:style>
  <w:style w:type="character" w:styleId="WW8Num11z0">
    <w:name w:val="WW8Num11z0"/>
    <w:qFormat/>
    <w:rPr>
      <w:rFonts w:ascii="Arial" w:hAnsi="Arial" w:cs="Arial"/>
      <w:sz w:val="22"/>
    </w:rPr>
  </w:style>
  <w:style w:type="character" w:styleId="WW8Num12z0">
    <w:name w:val="WW8Num12z0"/>
    <w:qFormat/>
    <w:rPr>
      <w:rFonts w:ascii="Arial" w:hAnsi="Arial" w:cs="Arial"/>
      <w:sz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Standardnpsmoodstavce">
    <w:name w:val="Standardní písmo odstavce"/>
    <w:qFormat/>
    <w:rPr/>
  </w:style>
  <w:style w:type="character" w:styleId="WW8Num13z0">
    <w:name w:val="WW8Num13z0"/>
    <w:qFormat/>
    <w:rPr>
      <w:rFonts w:ascii="Arial" w:hAnsi="Arial" w:cs="Arial"/>
      <w:b w:val="false"/>
      <w:i/>
      <w:color w:val="00B0F0"/>
      <w:sz w:val="22"/>
      <w:szCs w:val="22"/>
      <w:u w:val="none"/>
    </w:rPr>
  </w:style>
  <w:style w:type="character" w:styleId="WW8Num14z0">
    <w:name w:val="WW8Num14z0"/>
    <w:qFormat/>
    <w:rPr>
      <w:rFonts w:ascii="Arial" w:hAnsi="Arial" w:cs="Arial"/>
      <w:sz w:val="22"/>
      <w:szCs w:val="22"/>
    </w:rPr>
  </w:style>
  <w:style w:type="character" w:styleId="WW8Num15z0">
    <w:name w:val="WW8Num15z0"/>
    <w:qFormat/>
    <w:rPr>
      <w:rFonts w:ascii="Arial" w:hAnsi="Arial" w:cs="Arial"/>
      <w:i/>
      <w:color w:val="00B0F0"/>
      <w:sz w:val="22"/>
      <w:szCs w:val="22"/>
    </w:rPr>
  </w:style>
  <w:style w:type="character" w:styleId="WW8Num16z0">
    <w:name w:val="WW8Num16z0"/>
    <w:qFormat/>
    <w:rPr>
      <w:rFonts w:ascii="Arial" w:hAnsi="Arial" w:eastAsia="Times New Roman" w:cs="Arial"/>
      <w:i/>
      <w:color w:val="000000"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1">
    <w:name w:val="WW8Num11z1"/>
    <w:qFormat/>
    <w:rPr>
      <w:rFonts w:cs="Times New Roman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i w:val="false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Arial" w:hAnsi="Arial" w:cs="Arial"/>
      <w:sz w:val="22"/>
      <w:szCs w:val="22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Arial" w:hAnsi="Arial" w:eastAsia="Times New Roman" w:cs="Arial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1z1">
    <w:name w:val="WW8Num21z1"/>
    <w:qFormat/>
    <w:rPr>
      <w:rFonts w:cs="Times New Roman"/>
    </w:rPr>
  </w:style>
  <w:style w:type="character" w:styleId="WW8Num22z0">
    <w:name w:val="WW8Num22z0"/>
    <w:qFormat/>
    <w:rPr>
      <w:rFonts w:ascii="Arial" w:hAnsi="Arial" w:eastAsia="Times New Roman" w:cs="Times New Roman"/>
      <w:bCs/>
      <w:i/>
      <w:color w:val="000000"/>
      <w:sz w:val="22"/>
      <w:szCs w:val="22"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ascii="Arial" w:hAnsi="Arial" w:cs="Arial"/>
      <w:b w:val="false"/>
      <w:color w:val="00B0F0"/>
      <w:sz w:val="22"/>
      <w:szCs w:val="22"/>
      <w:u w:val="no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Arial" w:hAnsi="Arial" w:cs="Arial"/>
      <w:sz w:val="22"/>
      <w:szCs w:val="22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Arial" w:hAnsi="Arial" w:cs="Arial"/>
      <w:i/>
      <w:color w:val="00B0F0"/>
      <w:sz w:val="22"/>
      <w:szCs w:val="22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strike w:val="false"/>
      <w:dstrike w:val="false"/>
      <w:color w:val="000000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Arial" w:hAnsi="Arial" w:eastAsia="Times New Roman" w:cs="Arial"/>
      <w:i/>
      <w:color w:val="000000"/>
      <w:sz w:val="22"/>
      <w:szCs w:val="22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Standardnpsmoodstavce1">
    <w:name w:val="Standardní písmo odstavce1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Odkaznakoment1">
    <w:name w:val="Odkaz na komentář1"/>
    <w:qFormat/>
    <w:rPr>
      <w:sz w:val="16"/>
      <w:szCs w:val="16"/>
    </w:rPr>
  </w:style>
  <w:style w:type="character" w:styleId="TextkomenteChar">
    <w:name w:val="Text komentáře Char"/>
    <w:basedOn w:val="Standardnpsmoodstavce1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ZpatChar">
    <w:name w:val="Zápatí Char"/>
    <w:qFormat/>
    <w:rPr>
      <w:sz w:val="24"/>
      <w:szCs w:val="24"/>
    </w:rPr>
  </w:style>
  <w:style w:type="character" w:styleId="Znakapoznpodarou">
    <w:name w:val="Značka pozn. pod čarou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Znakyprovysvtlivky">
    <w:name w:val="WW-Znaky pro vysvětlivky"/>
    <w:qFormat/>
    <w:rPr/>
  </w:style>
  <w:style w:type="character" w:styleId="Odkaznavysvtlivky">
    <w:name w:val="Odkaz na vysvětlivky"/>
    <w:qFormat/>
    <w:rPr>
      <w:vertAlign w:val="superscript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bidi="zxx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azentlatextu">
    <w:name w:val="Body Text Indent"/>
    <w:basedOn w:val="Normal"/>
    <w:pPr>
      <w:ind w:left="708" w:right="0" w:firstLine="357"/>
      <w:jc w:val="both"/>
    </w:pPr>
    <w:rPr>
      <w:szCs w:val="20"/>
    </w:rPr>
  </w:style>
  <w:style w:type="paragraph" w:styleId="Zkladntextodsazen21">
    <w:name w:val="Základní text odsazený 21"/>
    <w:basedOn w:val="Normal"/>
    <w:qFormat/>
    <w:pPr>
      <w:ind w:left="708" w:right="0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Textkomente1">
    <w:name w:val="Text komentáře1"/>
    <w:basedOn w:val="Normal"/>
    <w:qFormat/>
    <w:pPr/>
    <w:rPr>
      <w:sz w:val="20"/>
      <w:szCs w:val="20"/>
    </w:rPr>
  </w:style>
  <w:style w:type="paragraph" w:styleId="Zkladntextodsazen31">
    <w:name w:val="Základní text odsazený 31"/>
    <w:basedOn w:val="Normal"/>
    <w:qFormat/>
    <w:pPr>
      <w:widowControl w:val="false"/>
      <w:tabs>
        <w:tab w:val="clear" w:pos="708"/>
        <w:tab w:val="left" w:pos="540" w:leader="none"/>
      </w:tabs>
      <w:ind w:left="540" w:right="0" w:hanging="540"/>
      <w:jc w:val="both"/>
    </w:pPr>
    <w:rPr>
      <w:bCs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Odstavecseseznamem">
    <w:name w:val="Odstavec se seznamem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edmtkomente">
    <w:name w:val="Předmět komentáře"/>
    <w:basedOn w:val="Textkomente1"/>
    <w:next w:val="Textkomente1"/>
    <w:qFormat/>
    <w:pPr/>
    <w:rPr>
      <w:b/>
      <w:bCs/>
      <w:lang w:val="cs-CZ"/>
    </w:rPr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val="cs-CZ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cs-CZ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LibreOffice/7.2.0.4$Windows_X86_64 LibreOffice_project/9a9c6381e3f7a62afc1329bd359cc48accb6435b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2025-06-20T09:59:00Z</dcterms:created>
  <dc:creator>DA210036</dc:creator>
  <dc:description/>
  <dc:language>cs-CZ</dc:language>
  <cp:lastModifiedBy/>
  <cp:lastPrinted>2021-11-22T09:50:00Z</cp:lastPrinted>
  <dcterms:modified xsi:type="dcterms:W3CDTF">2025-08-18T07:56:30Z</dcterms:modified>
  <cp:revision>3</cp:revision>
  <dc:subject/>
  <dc:title>Vzor obecně závazné vyhlášky obce o stanovení systému shromažďování, sběru, přepravy, třídění, využívání a odstraňování komuná</dc:title>
</cp:coreProperties>
</file>