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17" w:rsidRDefault="001B5D17" w:rsidP="001B5D17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lang w:eastAsia="cs-CZ"/>
        </w:rPr>
        <w:drawing>
          <wp:inline distT="0" distB="0" distL="0" distR="0">
            <wp:extent cx="1137036" cy="1513940"/>
            <wp:effectExtent l="0" t="0" r="6350" b="0"/>
            <wp:docPr id="1" name="Obrázek 1" descr="C:\Users\Mistostarosta\Desktop\znak_obce_lutin_vel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tostarosta\Desktop\znak_obce_lutin_vel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24" cy="151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D17" w:rsidRDefault="001B5D17" w:rsidP="001B5D17">
      <w:pPr>
        <w:ind w:left="708" w:firstLine="708"/>
        <w:jc w:val="center"/>
        <w:rPr>
          <w:rFonts w:ascii="Arial" w:hAnsi="Arial" w:cs="Arial"/>
          <w:sz w:val="24"/>
        </w:rPr>
      </w:pPr>
    </w:p>
    <w:p w:rsidR="001B5D17" w:rsidRPr="0077417F" w:rsidRDefault="001B5D17" w:rsidP="001B5D17">
      <w:pPr>
        <w:jc w:val="center"/>
        <w:rPr>
          <w:rFonts w:ascii="Arial" w:hAnsi="Arial" w:cs="Arial"/>
          <w:b/>
          <w:sz w:val="24"/>
        </w:rPr>
      </w:pPr>
      <w:r w:rsidRPr="0077417F">
        <w:rPr>
          <w:rFonts w:ascii="Arial" w:hAnsi="Arial" w:cs="Arial"/>
          <w:b/>
          <w:sz w:val="24"/>
        </w:rPr>
        <w:t>OBEC Lutín</w:t>
      </w:r>
    </w:p>
    <w:p w:rsidR="001B5D17" w:rsidRPr="0077417F" w:rsidRDefault="001B5D17" w:rsidP="001B5D17">
      <w:pPr>
        <w:jc w:val="center"/>
        <w:rPr>
          <w:rFonts w:ascii="Arial" w:hAnsi="Arial" w:cs="Arial"/>
          <w:b/>
          <w:sz w:val="24"/>
        </w:rPr>
      </w:pPr>
      <w:r w:rsidRPr="0077417F">
        <w:rPr>
          <w:rFonts w:ascii="Arial" w:hAnsi="Arial" w:cs="Arial"/>
          <w:b/>
          <w:sz w:val="24"/>
        </w:rPr>
        <w:t xml:space="preserve">Nařízení obce </w:t>
      </w:r>
    </w:p>
    <w:p w:rsidR="001B5D17" w:rsidRPr="00E34D90" w:rsidRDefault="001B5D17" w:rsidP="001B5D17">
      <w:pPr>
        <w:jc w:val="both"/>
        <w:rPr>
          <w:rFonts w:ascii="Arial" w:hAnsi="Arial" w:cs="Arial"/>
          <w:b/>
          <w:sz w:val="24"/>
        </w:rPr>
      </w:pPr>
      <w:r w:rsidRPr="00E34D90">
        <w:rPr>
          <w:rFonts w:ascii="Arial" w:hAnsi="Arial" w:cs="Arial"/>
          <w:b/>
          <w:sz w:val="24"/>
        </w:rPr>
        <w:t>kterým se zakazují některé formy prodeje zboží a poskytování služeb v energetických odvětvích</w:t>
      </w:r>
    </w:p>
    <w:p w:rsidR="001B5D17" w:rsidRDefault="001B5D17" w:rsidP="001B5D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Rada obce Lutín se na svém zasedání dne </w:t>
      </w:r>
      <w:r w:rsidR="005C5128">
        <w:rPr>
          <w:rFonts w:ascii="Arial" w:hAnsi="Arial" w:cs="Arial"/>
          <w:szCs w:val="24"/>
        </w:rPr>
        <w:t>4. 5. 2022</w:t>
      </w:r>
      <w:r>
        <w:rPr>
          <w:rFonts w:ascii="Arial" w:hAnsi="Arial" w:cs="Arial"/>
          <w:szCs w:val="24"/>
        </w:rPr>
        <w:t xml:space="preserve"> usnesla vydat na základě § </w:t>
      </w:r>
      <w:r w:rsidR="00B15AA6">
        <w:rPr>
          <w:rFonts w:ascii="Arial" w:hAnsi="Arial" w:cs="Arial"/>
          <w:szCs w:val="24"/>
        </w:rPr>
        <w:t>11p</w:t>
      </w:r>
      <w:r>
        <w:rPr>
          <w:rFonts w:ascii="Arial" w:hAnsi="Arial" w:cs="Arial"/>
          <w:szCs w:val="24"/>
        </w:rPr>
        <w:t xml:space="preserve"> zákona č. 45</w:t>
      </w:r>
      <w:r w:rsidR="00B15AA6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>/</w:t>
      </w:r>
      <w:r w:rsidR="00B15AA6">
        <w:rPr>
          <w:rFonts w:ascii="Arial" w:hAnsi="Arial" w:cs="Arial"/>
          <w:szCs w:val="24"/>
        </w:rPr>
        <w:t>2000</w:t>
      </w:r>
      <w:r>
        <w:rPr>
          <w:rFonts w:ascii="Arial" w:hAnsi="Arial" w:cs="Arial"/>
          <w:szCs w:val="24"/>
        </w:rPr>
        <w:t xml:space="preserve"> Sb.</w:t>
      </w:r>
      <w:r w:rsidR="00B15AA6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o </w:t>
      </w:r>
      <w:r w:rsidR="00B15AA6">
        <w:rPr>
          <w:rFonts w:ascii="Arial" w:hAnsi="Arial" w:cs="Arial"/>
          <w:szCs w:val="24"/>
        </w:rPr>
        <w:t>podmínkách</w:t>
      </w:r>
      <w:r>
        <w:rPr>
          <w:rFonts w:ascii="Arial" w:hAnsi="Arial" w:cs="Arial"/>
          <w:szCs w:val="24"/>
        </w:rPr>
        <w:t xml:space="preserve"> podnikání</w:t>
      </w:r>
      <w:r w:rsidR="00B15AA6">
        <w:rPr>
          <w:rFonts w:ascii="Arial" w:hAnsi="Arial" w:cs="Arial"/>
          <w:szCs w:val="24"/>
        </w:rPr>
        <w:t xml:space="preserve"> a o výkonu státní správy v energetických odvětvích a o změně některých zákonů</w:t>
      </w:r>
      <w:r>
        <w:rPr>
          <w:rFonts w:ascii="Arial" w:hAnsi="Arial" w:cs="Arial"/>
          <w:szCs w:val="24"/>
        </w:rPr>
        <w:t xml:space="preserve">, ve znění pozdějších předpisů </w:t>
      </w:r>
      <w:r w:rsidR="00B15AA6">
        <w:rPr>
          <w:rFonts w:ascii="Arial" w:hAnsi="Arial" w:cs="Arial"/>
          <w:szCs w:val="24"/>
        </w:rPr>
        <w:t xml:space="preserve">(dále také jen „energetický zákon“) </w:t>
      </w:r>
      <w:r>
        <w:rPr>
          <w:rFonts w:ascii="Arial" w:hAnsi="Arial" w:cs="Arial"/>
          <w:szCs w:val="24"/>
        </w:rPr>
        <w:t>a v souladu s § 11odst. 1a § 102 odst.</w:t>
      </w:r>
      <w:r w:rsidR="00B15AA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2pís</w:t>
      </w:r>
      <w:r w:rsidR="00B15AA6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. d) zákona č. 128/2000 Sb., o obcích ve znění pozdějších předpisů, toto nařízení:</w:t>
      </w:r>
    </w:p>
    <w:p w:rsidR="001B5D17" w:rsidRDefault="00B15AA6" w:rsidP="00641414">
      <w:pPr>
        <w:spacing w:line="240" w:lineRule="auto"/>
        <w:jc w:val="center"/>
        <w:rPr>
          <w:rFonts w:ascii="Arial" w:hAnsi="Arial" w:cs="Arial"/>
          <w:b/>
          <w:sz w:val="24"/>
        </w:rPr>
      </w:pPr>
      <w:proofErr w:type="gramStart"/>
      <w:r w:rsidRPr="00B15AA6">
        <w:rPr>
          <w:rFonts w:ascii="Arial" w:hAnsi="Arial" w:cs="Arial"/>
          <w:b/>
          <w:sz w:val="24"/>
        </w:rPr>
        <w:t xml:space="preserve">Článek </w:t>
      </w:r>
      <w:r w:rsidR="001B5D17" w:rsidRPr="00B15AA6">
        <w:rPr>
          <w:rFonts w:ascii="Arial" w:hAnsi="Arial" w:cs="Arial"/>
          <w:b/>
          <w:sz w:val="24"/>
        </w:rPr>
        <w:t xml:space="preserve"> 1</w:t>
      </w:r>
      <w:proofErr w:type="gramEnd"/>
    </w:p>
    <w:p w:rsidR="00B15AA6" w:rsidRPr="00B15AA6" w:rsidRDefault="00B15AA6" w:rsidP="00641414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Úvodní ustanovení</w:t>
      </w:r>
    </w:p>
    <w:p w:rsidR="001B5D17" w:rsidRPr="001B5D17" w:rsidRDefault="00B15AA6" w:rsidP="001B5D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Předmětem tohoto nařízení je regulace některých forem prodeje zboží nebo poskytování služeb prováděných mimo obchodní prostory při výkonu licencované činnosti držitelem licence nebo při výkonu zprostředkovatelské činnosti v energetických odvětvích dle energetického zákona za účelem nenarušování ochrany obydlí, zajištění veře</w:t>
      </w:r>
      <w:r w:rsidR="005C5128">
        <w:rPr>
          <w:rFonts w:ascii="Arial" w:hAnsi="Arial" w:cs="Arial"/>
          <w:sz w:val="24"/>
        </w:rPr>
        <w:t xml:space="preserve">jného pořádku </w:t>
      </w:r>
      <w:r w:rsidR="00641414">
        <w:rPr>
          <w:rFonts w:ascii="Arial" w:hAnsi="Arial" w:cs="Arial"/>
          <w:sz w:val="24"/>
        </w:rPr>
        <w:t>zvyšování bezp</w:t>
      </w:r>
      <w:r w:rsidR="0077417F">
        <w:rPr>
          <w:rFonts w:ascii="Arial" w:hAnsi="Arial" w:cs="Arial"/>
          <w:sz w:val="24"/>
        </w:rPr>
        <w:t>ečnosti obyvatel a návštěvníků o</w:t>
      </w:r>
      <w:r w:rsidR="00641414">
        <w:rPr>
          <w:rFonts w:ascii="Arial" w:hAnsi="Arial" w:cs="Arial"/>
          <w:sz w:val="24"/>
        </w:rPr>
        <w:t>bce</w:t>
      </w:r>
      <w:r w:rsidR="0077417F">
        <w:rPr>
          <w:rFonts w:ascii="Arial" w:hAnsi="Arial" w:cs="Arial"/>
          <w:sz w:val="24"/>
        </w:rPr>
        <w:t xml:space="preserve"> </w:t>
      </w:r>
      <w:r w:rsidR="00641414">
        <w:rPr>
          <w:rFonts w:ascii="Arial" w:hAnsi="Arial" w:cs="Arial"/>
          <w:sz w:val="24"/>
        </w:rPr>
        <w:t>Lutín</w:t>
      </w:r>
    </w:p>
    <w:p w:rsidR="001B5D17" w:rsidRPr="00641414" w:rsidRDefault="00641414" w:rsidP="001B5D17">
      <w:pPr>
        <w:jc w:val="center"/>
        <w:rPr>
          <w:rFonts w:ascii="Arial" w:hAnsi="Arial" w:cs="Arial"/>
          <w:b/>
          <w:sz w:val="24"/>
        </w:rPr>
      </w:pPr>
      <w:r w:rsidRPr="00641414">
        <w:rPr>
          <w:rFonts w:ascii="Arial" w:hAnsi="Arial" w:cs="Arial"/>
          <w:b/>
          <w:sz w:val="24"/>
        </w:rPr>
        <w:t>Článek 2</w:t>
      </w:r>
    </w:p>
    <w:p w:rsidR="00641414" w:rsidRDefault="00641414" w:rsidP="001B5D17">
      <w:pPr>
        <w:jc w:val="center"/>
        <w:rPr>
          <w:rFonts w:ascii="Arial" w:hAnsi="Arial" w:cs="Arial"/>
          <w:b/>
          <w:sz w:val="24"/>
        </w:rPr>
      </w:pPr>
      <w:r w:rsidRPr="00641414">
        <w:rPr>
          <w:rFonts w:ascii="Arial" w:hAnsi="Arial" w:cs="Arial"/>
          <w:b/>
          <w:sz w:val="24"/>
        </w:rPr>
        <w:t>Základní pojmy</w:t>
      </w:r>
    </w:p>
    <w:p w:rsidR="00641414" w:rsidRPr="00641414" w:rsidRDefault="00641414" w:rsidP="00641414">
      <w:pPr>
        <w:jc w:val="both"/>
        <w:rPr>
          <w:rFonts w:ascii="Arial" w:hAnsi="Arial" w:cs="Arial"/>
          <w:sz w:val="24"/>
        </w:rPr>
      </w:pPr>
    </w:p>
    <w:p w:rsidR="00641414" w:rsidRPr="00641414" w:rsidRDefault="00641414" w:rsidP="00641414">
      <w:pPr>
        <w:jc w:val="both"/>
        <w:rPr>
          <w:rFonts w:ascii="Arial" w:hAnsi="Arial" w:cs="Arial"/>
          <w:sz w:val="24"/>
        </w:rPr>
      </w:pPr>
      <w:r w:rsidRPr="00641414">
        <w:rPr>
          <w:rFonts w:ascii="Arial" w:hAnsi="Arial" w:cs="Arial"/>
          <w:sz w:val="24"/>
        </w:rPr>
        <w:t xml:space="preserve"> (1) Za podomní prodej se pro účely tohoto nařízení pokládá prodej zboží a poskytování služeb, kdy je bez předchozí objednávky dům od domu, byt od bytu nabízeno a prodáváno zboží nebo nabízeny a poskytovány služby. </w:t>
      </w:r>
    </w:p>
    <w:p w:rsidR="005602CA" w:rsidRDefault="00641414" w:rsidP="001B5D17">
      <w:pPr>
        <w:jc w:val="both"/>
        <w:rPr>
          <w:rFonts w:ascii="Arial" w:hAnsi="Arial" w:cs="Arial"/>
          <w:sz w:val="24"/>
        </w:rPr>
      </w:pPr>
      <w:r w:rsidRPr="00641414">
        <w:rPr>
          <w:rFonts w:ascii="Arial" w:hAnsi="Arial" w:cs="Arial"/>
          <w:sz w:val="24"/>
        </w:rPr>
        <w:t xml:space="preserve">(2) Za pochůzkový prodej se pro účely tohoto nařízení pokládá prodej zboží a poskytování služeb, kdy je bez předchozí objednávky na veřejně přístupném místě nabízeno a prodáváno zboží nebo nabízeny a poskytovány služby. </w:t>
      </w:r>
    </w:p>
    <w:p w:rsidR="00641414" w:rsidRDefault="00641414" w:rsidP="00641414">
      <w:pPr>
        <w:jc w:val="center"/>
        <w:rPr>
          <w:rFonts w:ascii="Arial" w:hAnsi="Arial" w:cs="Arial"/>
          <w:sz w:val="24"/>
        </w:rPr>
      </w:pPr>
    </w:p>
    <w:p w:rsidR="0077417F" w:rsidRDefault="00641414" w:rsidP="00641414">
      <w:pPr>
        <w:jc w:val="center"/>
        <w:rPr>
          <w:rFonts w:ascii="Arial" w:hAnsi="Arial" w:cs="Arial"/>
          <w:b/>
          <w:sz w:val="24"/>
        </w:rPr>
      </w:pPr>
      <w:r w:rsidRPr="00641414">
        <w:rPr>
          <w:rFonts w:ascii="Arial" w:hAnsi="Arial" w:cs="Arial"/>
          <w:b/>
          <w:sz w:val="24"/>
        </w:rPr>
        <w:lastRenderedPageBreak/>
        <w:t>Článek 3</w:t>
      </w:r>
    </w:p>
    <w:p w:rsidR="00641414" w:rsidRDefault="00641414" w:rsidP="00641414">
      <w:pPr>
        <w:jc w:val="center"/>
        <w:rPr>
          <w:rFonts w:ascii="Arial" w:hAnsi="Arial" w:cs="Arial"/>
          <w:b/>
          <w:sz w:val="24"/>
        </w:rPr>
      </w:pPr>
      <w:r w:rsidRPr="00641414">
        <w:rPr>
          <w:rFonts w:ascii="Arial" w:hAnsi="Arial" w:cs="Arial"/>
          <w:b/>
          <w:sz w:val="24"/>
        </w:rPr>
        <w:t xml:space="preserve">Zakázané formy prodeje zboží a poskytování </w:t>
      </w:r>
      <w:r>
        <w:rPr>
          <w:rFonts w:ascii="Arial" w:hAnsi="Arial" w:cs="Arial"/>
          <w:b/>
          <w:sz w:val="24"/>
        </w:rPr>
        <w:t>s</w:t>
      </w:r>
      <w:r w:rsidRPr="00641414">
        <w:rPr>
          <w:rFonts w:ascii="Arial" w:hAnsi="Arial" w:cs="Arial"/>
          <w:b/>
          <w:sz w:val="24"/>
        </w:rPr>
        <w:t>lužeb</w:t>
      </w:r>
    </w:p>
    <w:p w:rsidR="00641414" w:rsidRPr="00641414" w:rsidRDefault="00641414" w:rsidP="00641414">
      <w:pPr>
        <w:pStyle w:val="Default"/>
      </w:pPr>
    </w:p>
    <w:p w:rsidR="00641414" w:rsidRDefault="00641414" w:rsidP="0077417F">
      <w:pPr>
        <w:pStyle w:val="Default"/>
        <w:jc w:val="both"/>
      </w:pPr>
      <w:r w:rsidRPr="00641414">
        <w:t xml:space="preserve"> Podomní a pochůzkový prodej jsou při výkonu licencované činnosti držitelem licence nebo při výkonu zprostředkovatelské činnosti v energetických odvětvích dle energetického zákona na celém území obce Lutín zakázány.</w:t>
      </w:r>
    </w:p>
    <w:p w:rsidR="0077417F" w:rsidRDefault="0077417F" w:rsidP="0077417F">
      <w:pPr>
        <w:pStyle w:val="Default"/>
        <w:jc w:val="both"/>
      </w:pPr>
    </w:p>
    <w:p w:rsidR="0077417F" w:rsidRDefault="0077417F" w:rsidP="0077417F">
      <w:pPr>
        <w:pStyle w:val="Default"/>
        <w:jc w:val="center"/>
        <w:rPr>
          <w:b/>
          <w:bCs/>
        </w:rPr>
      </w:pPr>
      <w:r w:rsidRPr="0077417F">
        <w:rPr>
          <w:b/>
          <w:bCs/>
        </w:rPr>
        <w:t>Článek 4</w:t>
      </w:r>
    </w:p>
    <w:p w:rsidR="0077417F" w:rsidRPr="0077417F" w:rsidRDefault="0077417F" w:rsidP="0077417F">
      <w:pPr>
        <w:pStyle w:val="Default"/>
        <w:jc w:val="center"/>
      </w:pPr>
    </w:p>
    <w:p w:rsidR="0077417F" w:rsidRDefault="0077417F" w:rsidP="0077417F">
      <w:pPr>
        <w:pStyle w:val="Default"/>
        <w:jc w:val="center"/>
        <w:rPr>
          <w:b/>
          <w:bCs/>
        </w:rPr>
      </w:pPr>
      <w:r w:rsidRPr="0077417F">
        <w:rPr>
          <w:b/>
          <w:bCs/>
        </w:rPr>
        <w:t>Kontrola a sankce</w:t>
      </w:r>
    </w:p>
    <w:p w:rsidR="0077417F" w:rsidRPr="0077417F" w:rsidRDefault="0077417F" w:rsidP="0077417F">
      <w:pPr>
        <w:pStyle w:val="Default"/>
        <w:jc w:val="center"/>
      </w:pPr>
    </w:p>
    <w:p w:rsidR="0077417F" w:rsidRPr="0077417F" w:rsidRDefault="0077417F" w:rsidP="0077417F">
      <w:pPr>
        <w:pStyle w:val="Default"/>
        <w:jc w:val="both"/>
      </w:pPr>
      <w:r w:rsidRPr="0077417F">
        <w:t xml:space="preserve">(1) Kontrola nad dodržováním povinností stanovených tímto nařízením je prováděna podle zvláštních předpisů. </w:t>
      </w:r>
    </w:p>
    <w:p w:rsidR="0077417F" w:rsidRDefault="0077417F" w:rsidP="0077417F">
      <w:pPr>
        <w:pStyle w:val="Default"/>
        <w:jc w:val="both"/>
      </w:pPr>
      <w:r w:rsidRPr="0077417F">
        <w:t>(2) Porušení povinností stanovených tímto nařízením se postihuje podle zvláštních předpisů.</w:t>
      </w:r>
    </w:p>
    <w:p w:rsidR="00641414" w:rsidRDefault="00641414" w:rsidP="0077417F">
      <w:pPr>
        <w:jc w:val="center"/>
      </w:pPr>
    </w:p>
    <w:p w:rsidR="0077417F" w:rsidRPr="0077417F" w:rsidRDefault="0077417F" w:rsidP="0077417F">
      <w:pPr>
        <w:jc w:val="center"/>
        <w:rPr>
          <w:rFonts w:ascii="Arial" w:hAnsi="Arial" w:cs="Arial"/>
          <w:b/>
          <w:sz w:val="24"/>
        </w:rPr>
      </w:pPr>
      <w:r w:rsidRPr="0077417F">
        <w:rPr>
          <w:rFonts w:ascii="Arial" w:hAnsi="Arial" w:cs="Arial"/>
          <w:b/>
          <w:bCs/>
          <w:sz w:val="24"/>
        </w:rPr>
        <w:t xml:space="preserve">Článek 5 </w:t>
      </w:r>
    </w:p>
    <w:p w:rsidR="0077417F" w:rsidRPr="0077417F" w:rsidRDefault="0077417F" w:rsidP="0077417F">
      <w:pPr>
        <w:jc w:val="center"/>
        <w:rPr>
          <w:rFonts w:ascii="Arial" w:hAnsi="Arial" w:cs="Arial"/>
          <w:b/>
          <w:sz w:val="24"/>
        </w:rPr>
      </w:pPr>
      <w:r w:rsidRPr="0077417F">
        <w:rPr>
          <w:rFonts w:ascii="Arial" w:hAnsi="Arial" w:cs="Arial"/>
          <w:b/>
          <w:bCs/>
          <w:sz w:val="24"/>
        </w:rPr>
        <w:t xml:space="preserve">Účinnost </w:t>
      </w:r>
    </w:p>
    <w:p w:rsidR="0077417F" w:rsidRPr="0077417F" w:rsidRDefault="0077417F" w:rsidP="0077417F">
      <w:pPr>
        <w:rPr>
          <w:rFonts w:ascii="Arial" w:hAnsi="Arial" w:cs="Arial"/>
          <w:sz w:val="24"/>
        </w:rPr>
      </w:pPr>
      <w:r w:rsidRPr="0077417F">
        <w:rPr>
          <w:rFonts w:ascii="Arial" w:hAnsi="Arial" w:cs="Arial"/>
          <w:sz w:val="24"/>
        </w:rPr>
        <w:t xml:space="preserve">Toto nařízení nabývá účinnosti dnem </w:t>
      </w:r>
      <w:r w:rsidR="00CF6BBD">
        <w:rPr>
          <w:rFonts w:ascii="Arial" w:hAnsi="Arial" w:cs="Arial"/>
          <w:sz w:val="24"/>
        </w:rPr>
        <w:t>25</w:t>
      </w:r>
      <w:r w:rsidR="005C5128">
        <w:rPr>
          <w:rFonts w:ascii="Arial" w:hAnsi="Arial" w:cs="Arial"/>
          <w:sz w:val="24"/>
        </w:rPr>
        <w:t>. 5. 2022</w:t>
      </w:r>
    </w:p>
    <w:p w:rsidR="00641414" w:rsidRDefault="00641414" w:rsidP="00641414">
      <w:pPr>
        <w:jc w:val="center"/>
        <w:rPr>
          <w:rFonts w:ascii="Arial" w:hAnsi="Arial" w:cs="Arial"/>
          <w:sz w:val="24"/>
        </w:rPr>
      </w:pPr>
    </w:p>
    <w:p w:rsidR="0077417F" w:rsidRDefault="005602CA" w:rsidP="001B5D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77417F" w:rsidRDefault="0077417F" w:rsidP="001B5D17">
      <w:pPr>
        <w:jc w:val="both"/>
        <w:rPr>
          <w:rFonts w:ascii="Arial" w:hAnsi="Arial" w:cs="Arial"/>
          <w:sz w:val="24"/>
        </w:rPr>
      </w:pPr>
    </w:p>
    <w:p w:rsidR="005602CA" w:rsidRDefault="0077417F" w:rsidP="001B5D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Mgr. Dalibor Kolář</w:t>
      </w:r>
      <w:r w:rsidR="005C5128">
        <w:rPr>
          <w:rFonts w:ascii="Arial" w:hAnsi="Arial" w:cs="Arial"/>
          <w:sz w:val="24"/>
        </w:rPr>
        <w:t xml:space="preserve"> v.r.</w:t>
      </w:r>
      <w:r w:rsidR="005C5128">
        <w:rPr>
          <w:rFonts w:ascii="Arial" w:hAnsi="Arial" w:cs="Arial"/>
          <w:sz w:val="24"/>
        </w:rPr>
        <w:tab/>
      </w:r>
      <w:r w:rsidR="005C5128">
        <w:rPr>
          <w:rFonts w:ascii="Arial" w:hAnsi="Arial" w:cs="Arial"/>
          <w:sz w:val="24"/>
        </w:rPr>
        <w:tab/>
      </w:r>
      <w:r w:rsidR="005C5128">
        <w:rPr>
          <w:rFonts w:ascii="Arial" w:hAnsi="Arial" w:cs="Arial"/>
          <w:sz w:val="24"/>
        </w:rPr>
        <w:tab/>
      </w:r>
      <w:r w:rsidR="005C5128">
        <w:rPr>
          <w:rFonts w:ascii="Arial" w:hAnsi="Arial" w:cs="Arial"/>
          <w:sz w:val="24"/>
        </w:rPr>
        <w:tab/>
      </w:r>
      <w:r w:rsidR="005C5128">
        <w:rPr>
          <w:rFonts w:ascii="Arial" w:hAnsi="Arial" w:cs="Arial"/>
          <w:sz w:val="24"/>
        </w:rPr>
        <w:tab/>
      </w:r>
      <w:r w:rsidR="005602CA">
        <w:rPr>
          <w:rFonts w:ascii="Arial" w:hAnsi="Arial" w:cs="Arial"/>
          <w:sz w:val="24"/>
        </w:rPr>
        <w:t>Ing. Jakub Chrást</w:t>
      </w:r>
      <w:r w:rsidR="005C5128">
        <w:rPr>
          <w:rFonts w:ascii="Arial" w:hAnsi="Arial" w:cs="Arial"/>
          <w:sz w:val="24"/>
        </w:rPr>
        <w:t xml:space="preserve"> </w:t>
      </w:r>
      <w:proofErr w:type="gramStart"/>
      <w:r w:rsidR="005C5128">
        <w:rPr>
          <w:rFonts w:ascii="Arial" w:hAnsi="Arial" w:cs="Arial"/>
          <w:sz w:val="24"/>
        </w:rPr>
        <w:t>v.r.</w:t>
      </w:r>
      <w:proofErr w:type="gramEnd"/>
    </w:p>
    <w:p w:rsidR="005602CA" w:rsidRPr="001B5D17" w:rsidRDefault="0077417F" w:rsidP="001B5D1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místostarosta obce Lutín</w:t>
      </w:r>
      <w:r w:rsidR="005602CA">
        <w:rPr>
          <w:rFonts w:ascii="Arial" w:hAnsi="Arial" w:cs="Arial"/>
          <w:sz w:val="24"/>
        </w:rPr>
        <w:tab/>
      </w:r>
      <w:r w:rsidR="005602CA">
        <w:rPr>
          <w:rFonts w:ascii="Arial" w:hAnsi="Arial" w:cs="Arial"/>
          <w:sz w:val="24"/>
        </w:rPr>
        <w:tab/>
      </w:r>
      <w:r w:rsidR="005602CA">
        <w:rPr>
          <w:rFonts w:ascii="Arial" w:hAnsi="Arial" w:cs="Arial"/>
          <w:sz w:val="24"/>
        </w:rPr>
        <w:tab/>
      </w:r>
      <w:r w:rsidR="005602CA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</w:t>
      </w:r>
      <w:r w:rsidR="005602CA">
        <w:rPr>
          <w:rFonts w:ascii="Arial" w:hAnsi="Arial" w:cs="Arial"/>
          <w:sz w:val="24"/>
        </w:rPr>
        <w:t xml:space="preserve">tarosta </w:t>
      </w:r>
      <w:r>
        <w:rPr>
          <w:rFonts w:ascii="Arial" w:hAnsi="Arial" w:cs="Arial"/>
          <w:sz w:val="24"/>
        </w:rPr>
        <w:t>o</w:t>
      </w:r>
      <w:r w:rsidR="005602CA">
        <w:rPr>
          <w:rFonts w:ascii="Arial" w:hAnsi="Arial" w:cs="Arial"/>
          <w:sz w:val="24"/>
        </w:rPr>
        <w:t>bce Lutín</w:t>
      </w:r>
    </w:p>
    <w:sectPr w:rsidR="005602CA" w:rsidRPr="001B5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F7986"/>
    <w:multiLevelType w:val="hybridMultilevel"/>
    <w:tmpl w:val="ACBAE4AE"/>
    <w:lvl w:ilvl="0" w:tplc="1006F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8F"/>
    <w:rsid w:val="00015262"/>
    <w:rsid w:val="001B5D17"/>
    <w:rsid w:val="0052458F"/>
    <w:rsid w:val="005602CA"/>
    <w:rsid w:val="005C5128"/>
    <w:rsid w:val="00641414"/>
    <w:rsid w:val="007622EA"/>
    <w:rsid w:val="0077417F"/>
    <w:rsid w:val="007B65BA"/>
    <w:rsid w:val="008C0B5E"/>
    <w:rsid w:val="009D7C81"/>
    <w:rsid w:val="00A75790"/>
    <w:rsid w:val="00AE618B"/>
    <w:rsid w:val="00B15AA6"/>
    <w:rsid w:val="00B276ED"/>
    <w:rsid w:val="00CF6BBD"/>
    <w:rsid w:val="00DC5743"/>
    <w:rsid w:val="00E3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D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41414"/>
    <w:pPr>
      <w:ind w:left="720"/>
      <w:contextualSpacing/>
    </w:pPr>
  </w:style>
  <w:style w:type="paragraph" w:customStyle="1" w:styleId="Default">
    <w:name w:val="Default"/>
    <w:rsid w:val="006414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D1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41414"/>
    <w:pPr>
      <w:ind w:left="720"/>
      <w:contextualSpacing/>
    </w:pPr>
  </w:style>
  <w:style w:type="paragraph" w:customStyle="1" w:styleId="Default">
    <w:name w:val="Default"/>
    <w:rsid w:val="006414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esedlackova</cp:lastModifiedBy>
  <cp:revision>2</cp:revision>
  <cp:lastPrinted>2022-05-10T11:54:00Z</cp:lastPrinted>
  <dcterms:created xsi:type="dcterms:W3CDTF">2022-05-10T12:18:00Z</dcterms:created>
  <dcterms:modified xsi:type="dcterms:W3CDTF">2022-05-10T12:18:00Z</dcterms:modified>
</cp:coreProperties>
</file>