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255" w14:textId="17825270" w:rsidR="003B43EC" w:rsidRPr="00216003" w:rsidRDefault="000D0BB1" w:rsidP="000D0BB1">
      <w:pPr>
        <w:pStyle w:val="Nzev"/>
        <w:ind w:left="708" w:firstLine="708"/>
        <w:jc w:val="both"/>
        <w:rPr>
          <w:rFonts w:ascii="Arial" w:hAnsi="Arial" w:cs="Arial"/>
          <w:sz w:val="40"/>
          <w:szCs w:val="40"/>
        </w:rPr>
      </w:pPr>
      <w:bookmarkStart w:id="0" w:name="_Hlk57648732"/>
      <w:r>
        <w:rPr>
          <w:noProof/>
        </w:rPr>
        <w:drawing>
          <wp:anchor distT="0" distB="0" distL="114300" distR="114300" simplePos="0" relativeHeight="251659264" behindDoc="1" locked="0" layoutInCell="1" allowOverlap="1" wp14:anchorId="632496E9" wp14:editId="073AA103">
            <wp:simplePos x="0" y="0"/>
            <wp:positionH relativeFrom="column">
              <wp:posOffset>62230</wp:posOffset>
            </wp:positionH>
            <wp:positionV relativeFrom="paragraph">
              <wp:posOffset>-168910</wp:posOffset>
            </wp:positionV>
            <wp:extent cx="713105" cy="713105"/>
            <wp:effectExtent l="0" t="0" r="0" b="0"/>
            <wp:wrapNone/>
            <wp:docPr id="4089755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</w:t>
      </w:r>
      <w:r w:rsidR="003B43EC" w:rsidRPr="00216003">
        <w:rPr>
          <w:rFonts w:ascii="Arial" w:hAnsi="Arial" w:cs="Arial"/>
          <w:sz w:val="40"/>
          <w:szCs w:val="40"/>
        </w:rPr>
        <w:t>Obec Kájov</w:t>
      </w:r>
    </w:p>
    <w:p w14:paraId="70FA2D41" w14:textId="7DA140B1" w:rsidR="001D0BDE" w:rsidRPr="001D0BDE" w:rsidRDefault="001D0BDE" w:rsidP="000D0BB1">
      <w:pPr>
        <w:pStyle w:val="Nzev"/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3D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D0BDE">
        <w:rPr>
          <w:rFonts w:ascii="Arial" w:hAnsi="Arial" w:cs="Arial"/>
          <w:sz w:val="28"/>
          <w:szCs w:val="28"/>
        </w:rPr>
        <w:t>Zas</w:t>
      </w:r>
      <w:r>
        <w:rPr>
          <w:rFonts w:ascii="Arial" w:hAnsi="Arial" w:cs="Arial"/>
          <w:sz w:val="28"/>
          <w:szCs w:val="28"/>
        </w:rPr>
        <w:t>tupitelstvo obce Kájov</w:t>
      </w:r>
    </w:p>
    <w:p w14:paraId="6F41A23C" w14:textId="06696919" w:rsidR="005B75E0" w:rsidRDefault="001D0BDE" w:rsidP="000D0BB1">
      <w:pPr>
        <w:pStyle w:val="Nzev"/>
        <w:ind w:left="708" w:firstLine="708"/>
        <w:jc w:val="both"/>
      </w:pPr>
      <w:r>
        <w:t xml:space="preserve"> </w:t>
      </w:r>
    </w:p>
    <w:bookmarkEnd w:id="0"/>
    <w:p w14:paraId="2A408BCE" w14:textId="01A5B7B0" w:rsidR="007458BC" w:rsidRPr="005B75E0" w:rsidRDefault="007458BC" w:rsidP="00CF08FF">
      <w:pPr>
        <w:keepNext/>
        <w:spacing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B5342A0" w14:textId="7CB6E790" w:rsidR="00C35BD4" w:rsidRDefault="006A579C" w:rsidP="00C35BD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35BD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35BD4" w:rsidRPr="00C35BD4">
        <w:rPr>
          <w:rFonts w:ascii="Arial" w:hAnsi="Arial" w:cs="Arial"/>
          <w:b/>
          <w:sz w:val="24"/>
          <w:szCs w:val="24"/>
        </w:rPr>
        <w:t>č.</w:t>
      </w:r>
      <w:r w:rsidR="00C35BD4">
        <w:rPr>
          <w:rFonts w:ascii="Arial" w:hAnsi="Arial" w:cs="Arial"/>
          <w:b/>
          <w:sz w:val="24"/>
          <w:szCs w:val="24"/>
        </w:rPr>
        <w:t xml:space="preserve"> …</w:t>
      </w:r>
      <w:r w:rsidR="00A00D90">
        <w:rPr>
          <w:rFonts w:ascii="Arial" w:hAnsi="Arial" w:cs="Arial"/>
          <w:b/>
          <w:sz w:val="24"/>
          <w:szCs w:val="24"/>
        </w:rPr>
        <w:t>,</w:t>
      </w:r>
    </w:p>
    <w:p w14:paraId="74A8AD6F" w14:textId="4D268F46" w:rsidR="006A579C" w:rsidRPr="00C35BD4" w:rsidRDefault="0065481A" w:rsidP="00C35BD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C35BD4">
        <w:rPr>
          <w:rFonts w:ascii="Arial" w:hAnsi="Arial" w:cs="Arial"/>
          <w:b/>
          <w:sz w:val="24"/>
          <w:szCs w:val="24"/>
        </w:rPr>
        <w:t> </w:t>
      </w:r>
      <w:r w:rsidR="00CF08FF" w:rsidRPr="00D47652">
        <w:rPr>
          <w:rFonts w:ascii="Arial" w:hAnsi="Arial" w:cs="Arial"/>
          <w:b/>
          <w:sz w:val="24"/>
          <w:szCs w:val="24"/>
        </w:rPr>
        <w:t>obci</w:t>
      </w:r>
      <w:r w:rsidR="00C35BD4">
        <w:rPr>
          <w:rFonts w:ascii="Arial" w:hAnsi="Arial" w:cs="Arial"/>
          <w:b/>
          <w:sz w:val="24"/>
          <w:szCs w:val="24"/>
        </w:rPr>
        <w:t xml:space="preserve"> Kájov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 </w:t>
      </w:r>
    </w:p>
    <w:p w14:paraId="1DDE0A37" w14:textId="04B2BF4F" w:rsidR="004F6AE0" w:rsidRPr="0062486B" w:rsidRDefault="004F6AE0" w:rsidP="00F61EA1">
      <w:pPr>
        <w:spacing w:after="0"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D63190">
        <w:rPr>
          <w:rFonts w:ascii="Arial" w:hAnsi="Arial" w:cs="Arial"/>
        </w:rPr>
        <w:t xml:space="preserve"> Kájov</w:t>
      </w:r>
      <w:r w:rsidRPr="0062486B">
        <w:rPr>
          <w:rFonts w:ascii="Arial" w:hAnsi="Arial" w:cs="Arial"/>
        </w:rPr>
        <w:t xml:space="preserve"> se na svém zasedání dne …</w:t>
      </w:r>
      <w:r w:rsidR="00D63190">
        <w:rPr>
          <w:rFonts w:ascii="Arial" w:hAnsi="Arial" w:cs="Arial"/>
        </w:rPr>
        <w:t xml:space="preserve"> … ….</w:t>
      </w:r>
      <w:r w:rsidRPr="0062486B">
        <w:rPr>
          <w:rFonts w:ascii="Arial" w:hAnsi="Arial" w:cs="Arial"/>
        </w:rPr>
        <w:t xml:space="preserve"> usnesením č.</w:t>
      </w:r>
      <w:r w:rsidR="00D63190">
        <w:rPr>
          <w:rFonts w:ascii="Arial" w:hAnsi="Arial" w:cs="Arial"/>
        </w:rPr>
        <w:t xml:space="preserve"> </w:t>
      </w:r>
      <w:r w:rsidR="00616355">
        <w:rPr>
          <w:rFonts w:ascii="Arial" w:hAnsi="Arial" w:cs="Arial"/>
        </w:rPr>
        <w:t xml:space="preserve">……….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78D14BBD" w:rsidR="00243C48" w:rsidRPr="0062486B" w:rsidRDefault="00E872FB" w:rsidP="0063161B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47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3242C2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3242C2">
        <w:rPr>
          <w:rFonts w:ascii="Arial" w:hAnsi="Arial" w:cs="Arial"/>
        </w:rPr>
        <w:t xml:space="preserve"> Kájov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08D73477" w:rsidR="00243C48" w:rsidRPr="007C37C7" w:rsidRDefault="00E872FB" w:rsidP="007C37C7">
      <w:pPr>
        <w:pStyle w:val="Odstavecseseznamem"/>
        <w:numPr>
          <w:ilvl w:val="0"/>
          <w:numId w:val="42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2D19AE">
        <w:rPr>
          <w:rFonts w:ascii="Arial" w:hAnsi="Arial" w:cs="Arial"/>
        </w:rPr>
        <w:t>Kájov</w:t>
      </w:r>
      <w:r>
        <w:rPr>
          <w:rFonts w:ascii="Arial" w:hAnsi="Arial" w:cs="Arial"/>
        </w:rPr>
        <w:t xml:space="preserve"> vyznačených v příloze č. 1, která je nedílnou</w:t>
      </w:r>
      <w:r w:rsidR="007C37C7">
        <w:rPr>
          <w:rFonts w:ascii="Arial" w:hAnsi="Arial" w:cs="Arial"/>
        </w:rPr>
        <w:t xml:space="preserve"> </w:t>
      </w:r>
      <w:r w:rsidRPr="007C37C7">
        <w:rPr>
          <w:rFonts w:ascii="Arial" w:hAnsi="Arial" w:cs="Arial"/>
        </w:rPr>
        <w:t xml:space="preserve">součástí této obecně závazné vyhlášky, je možný pohyb psů pouze </w:t>
      </w:r>
      <w:r w:rsidR="0009111C" w:rsidRPr="007C37C7">
        <w:rPr>
          <w:rFonts w:ascii="Arial" w:hAnsi="Arial" w:cs="Arial"/>
        </w:rPr>
        <w:t>na vodítku</w:t>
      </w:r>
      <w:r w:rsidRPr="007C37C7">
        <w:rPr>
          <w:rFonts w:ascii="Arial" w:hAnsi="Arial" w:cs="Arial"/>
        </w:rPr>
        <w:t>,</w:t>
      </w:r>
    </w:p>
    <w:p w14:paraId="0F1C390E" w14:textId="1DC294D6" w:rsidR="00243C48" w:rsidRDefault="00E872FB" w:rsidP="007E179F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470" w:hanging="357"/>
        <w:rPr>
          <w:rFonts w:ascii="Arial" w:hAnsi="Arial" w:cs="Arial"/>
        </w:rPr>
      </w:pPr>
      <w:r w:rsidRPr="007A427F">
        <w:rPr>
          <w:rFonts w:ascii="Arial" w:hAnsi="Arial" w:cs="Arial"/>
        </w:rPr>
        <w:t>Splnění povinností stanovených v</w:t>
      </w:r>
      <w:r w:rsidR="00E7765B" w:rsidRPr="007A427F">
        <w:rPr>
          <w:rFonts w:ascii="Arial" w:hAnsi="Arial" w:cs="Arial"/>
        </w:rPr>
        <w:t> </w:t>
      </w:r>
      <w:r w:rsidRPr="007A427F">
        <w:rPr>
          <w:rFonts w:ascii="Arial" w:hAnsi="Arial" w:cs="Arial"/>
        </w:rPr>
        <w:t>odst</w:t>
      </w:r>
      <w:r w:rsidR="00E7765B" w:rsidRPr="007A427F">
        <w:rPr>
          <w:rFonts w:ascii="Arial" w:hAnsi="Arial" w:cs="Arial"/>
        </w:rPr>
        <w:t>avci</w:t>
      </w:r>
      <w:r w:rsidRPr="007A427F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7A427F">
        <w:rPr>
          <w:rFonts w:ascii="Arial" w:hAnsi="Arial" w:cs="Arial"/>
        </w:rPr>
        <w:t>.</w:t>
      </w:r>
      <w:r w:rsidR="00243C48" w:rsidRPr="0062486B">
        <w:rPr>
          <w:vertAlign w:val="superscript"/>
        </w:rPr>
        <w:footnoteReference w:id="2"/>
      </w:r>
    </w:p>
    <w:p w14:paraId="645418AB" w14:textId="77777777" w:rsidR="009965E9" w:rsidRDefault="009965E9" w:rsidP="009965E9">
      <w:pPr>
        <w:pStyle w:val="Odstavecseseznamem"/>
        <w:tabs>
          <w:tab w:val="left" w:pos="1134"/>
        </w:tabs>
        <w:spacing w:line="276" w:lineRule="auto"/>
        <w:ind w:left="470"/>
        <w:rPr>
          <w:rFonts w:ascii="Arial" w:hAnsi="Arial" w:cs="Arial"/>
        </w:rPr>
      </w:pPr>
    </w:p>
    <w:p w14:paraId="62C3896A" w14:textId="3558683B" w:rsidR="00E7765B" w:rsidRDefault="00E7765B" w:rsidP="00F61EA1">
      <w:pPr>
        <w:pStyle w:val="Odstavecseseznamem"/>
        <w:numPr>
          <w:ilvl w:val="0"/>
          <w:numId w:val="41"/>
        </w:numPr>
        <w:tabs>
          <w:tab w:val="left" w:pos="1134"/>
        </w:tabs>
        <w:spacing w:after="0" w:line="276" w:lineRule="auto"/>
        <w:ind w:left="470" w:hanging="357"/>
        <w:rPr>
          <w:rFonts w:ascii="Arial" w:hAnsi="Arial" w:cs="Arial"/>
        </w:rPr>
      </w:pPr>
      <w:r w:rsidRPr="007F0939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7F0939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C54080A" w14:textId="49A4B1FD" w:rsidR="00A64EEE" w:rsidRDefault="00A64EEE" w:rsidP="00F61EA1">
      <w:pPr>
        <w:spacing w:after="0"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B070EE" w:rsidRPr="00B070EE">
        <w:rPr>
          <w:rFonts w:ascii="Arial" w:hAnsi="Arial" w:cs="Arial"/>
        </w:rPr>
        <w:t>Kájov</w:t>
      </w:r>
      <w:r w:rsidR="00B070EE">
        <w:rPr>
          <w:rFonts w:ascii="Arial" w:hAnsi="Arial" w:cs="Arial"/>
        </w:rPr>
        <w:t xml:space="preserve"> č. 1/2021</w:t>
      </w:r>
      <w:r w:rsidR="007E356E">
        <w:rPr>
          <w:rFonts w:ascii="Arial" w:hAnsi="Arial" w:cs="Arial"/>
        </w:rPr>
        <w:t>, kterou se stanovují pravidla pro</w:t>
      </w:r>
      <w:r w:rsidR="00301025">
        <w:rPr>
          <w:rFonts w:ascii="Arial" w:hAnsi="Arial" w:cs="Arial"/>
        </w:rPr>
        <w:t> </w:t>
      </w:r>
      <w:r w:rsidR="007E356E">
        <w:rPr>
          <w:rFonts w:ascii="Arial" w:hAnsi="Arial" w:cs="Arial"/>
        </w:rPr>
        <w:t xml:space="preserve">pohyb psů na veřejném prostranství </w:t>
      </w:r>
      <w:r w:rsidR="008777C0">
        <w:rPr>
          <w:rFonts w:ascii="Arial" w:hAnsi="Arial" w:cs="Arial"/>
        </w:rPr>
        <w:t>v obci Kájov</w:t>
      </w:r>
      <w:r w:rsidRPr="0062486B">
        <w:rPr>
          <w:rFonts w:ascii="Arial" w:hAnsi="Arial" w:cs="Arial"/>
        </w:rPr>
        <w:t xml:space="preserve">, ze dne </w:t>
      </w:r>
      <w:r w:rsidR="008777C0">
        <w:rPr>
          <w:rFonts w:ascii="Arial" w:hAnsi="Arial" w:cs="Arial"/>
        </w:rPr>
        <w:t>15. 12. 2020.</w:t>
      </w:r>
    </w:p>
    <w:p w14:paraId="1FAF6F38" w14:textId="77777777" w:rsidR="00576A2A" w:rsidRDefault="00576A2A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A7A9B65" w14:textId="0F0A7822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126822CD" w:rsidR="004F6AE0" w:rsidRPr="0062486B" w:rsidRDefault="008777C0" w:rsidP="008777C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F6AE0">
        <w:rPr>
          <w:rFonts w:ascii="Arial" w:hAnsi="Arial" w:cs="Arial"/>
        </w:rPr>
        <w:t xml:space="preserve">ato </w:t>
      </w:r>
      <w:r w:rsidR="00350CEA">
        <w:rPr>
          <w:rFonts w:ascii="Arial" w:hAnsi="Arial" w:cs="Arial"/>
        </w:rPr>
        <w:t xml:space="preserve">obecně závazná </w:t>
      </w:r>
      <w:r w:rsidR="004F6AE0">
        <w:rPr>
          <w:rFonts w:ascii="Arial" w:hAnsi="Arial" w:cs="Arial"/>
        </w:rPr>
        <w:t>vyhláška nabývá účinnosti počátkem patnáctého dne následujícího po dni jejího vyhlášení.</w:t>
      </w:r>
    </w:p>
    <w:p w14:paraId="7EB89E67" w14:textId="77777777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1F0061" w:rsidRPr="0062486B" w:rsidRDefault="001F0061" w:rsidP="00CF08FF">
      <w:pPr>
        <w:spacing w:line="276" w:lineRule="auto"/>
        <w:rPr>
          <w:rFonts w:ascii="Arial" w:hAnsi="Arial" w:cs="Arial"/>
        </w:rPr>
        <w:sectPr w:rsidR="001F0061" w:rsidRPr="0062486B" w:rsidSect="00576A2A">
          <w:footerReference w:type="default" r:id="rId9"/>
          <w:footnotePr>
            <w:numRestart w:val="eachSect"/>
          </w:footnotePr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14:paraId="7CF6614C" w14:textId="3B5A58CF" w:rsidR="00847970" w:rsidRPr="0062486B" w:rsidRDefault="00351BCA" w:rsidP="001F0061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136C7E82" w:rsidR="00351BCA" w:rsidRPr="0062486B" w:rsidRDefault="00707BE0" w:rsidP="001F0061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Šmikmátor</w:t>
      </w:r>
    </w:p>
    <w:p w14:paraId="72702CD3" w14:textId="50ACE25C" w:rsidR="00351BCA" w:rsidRPr="0062486B" w:rsidRDefault="00707BE0" w:rsidP="001F0061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</w:t>
      </w:r>
      <w:r w:rsidR="00F032E3">
        <w:rPr>
          <w:rFonts w:ascii="Arial" w:hAnsi="Arial" w:cs="Arial"/>
        </w:rPr>
        <w:t>sto</w:t>
      </w:r>
      <w:r w:rsidR="00351BCA" w:rsidRPr="0062486B">
        <w:rPr>
          <w:rFonts w:ascii="Arial" w:hAnsi="Arial" w:cs="Arial"/>
        </w:rPr>
        <w:t>starosta</w:t>
      </w:r>
      <w:r w:rsidR="00351BCA" w:rsidRPr="0062486B">
        <w:rPr>
          <w:rFonts w:ascii="Arial" w:hAnsi="Arial" w:cs="Arial"/>
        </w:rPr>
        <w:br w:type="column"/>
      </w:r>
      <w:r w:rsidR="00351BCA" w:rsidRPr="0062486B">
        <w:rPr>
          <w:rFonts w:ascii="Arial" w:hAnsi="Arial" w:cs="Arial"/>
        </w:rPr>
        <w:t>………………………………</w:t>
      </w:r>
    </w:p>
    <w:p w14:paraId="54749D2D" w14:textId="42BF93BE" w:rsidR="00351BCA" w:rsidRPr="0062486B" w:rsidRDefault="00707BE0" w:rsidP="001F0061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Bohumil Šíp</w:t>
      </w:r>
    </w:p>
    <w:p w14:paraId="18BEB160" w14:textId="704EF266" w:rsidR="00351BCA" w:rsidRPr="0062486B" w:rsidRDefault="00707BE0" w:rsidP="001F0061">
      <w:pPr>
        <w:spacing w:after="0"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s</w:t>
      </w:r>
      <w:r w:rsidR="00351BCA" w:rsidRPr="0062486B">
        <w:rPr>
          <w:rFonts w:ascii="Arial" w:hAnsi="Arial" w:cs="Arial"/>
        </w:rPr>
        <w:t>taro</w:t>
      </w:r>
      <w:r w:rsidR="00B02671">
        <w:rPr>
          <w:rFonts w:ascii="Arial" w:hAnsi="Arial" w:cs="Arial"/>
        </w:rPr>
        <w:t>sta</w:t>
      </w:r>
      <w:r>
        <w:rPr>
          <w:rFonts w:ascii="Arial" w:hAnsi="Arial" w:cs="Arial"/>
        </w:rPr>
        <w:t xml:space="preserve"> o</w:t>
      </w:r>
      <w:r w:rsidR="007A766E">
        <w:rPr>
          <w:rFonts w:ascii="Arial" w:hAnsi="Arial" w:cs="Arial"/>
        </w:rPr>
        <w:t>bc</w:t>
      </w:r>
      <w:r w:rsidR="00602C0A">
        <w:rPr>
          <w:rFonts w:ascii="Arial" w:hAnsi="Arial" w:cs="Arial"/>
        </w:rPr>
        <w:t>e</w:t>
      </w:r>
    </w:p>
    <w:p w14:paraId="66A7642C" w14:textId="47C05B06"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0517" w14:textId="77777777" w:rsidR="00BA2C2C" w:rsidRDefault="00BA2C2C" w:rsidP="006A579C">
      <w:pPr>
        <w:spacing w:after="0"/>
      </w:pPr>
      <w:r>
        <w:separator/>
      </w:r>
    </w:p>
  </w:endnote>
  <w:endnote w:type="continuationSeparator" w:id="0">
    <w:p w14:paraId="7C43F5BF" w14:textId="77777777" w:rsidR="00BA2C2C" w:rsidRDefault="00BA2C2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91E7" w14:textId="77777777" w:rsidR="00BA2C2C" w:rsidRDefault="00BA2C2C" w:rsidP="006A579C">
      <w:pPr>
        <w:spacing w:after="0"/>
      </w:pPr>
      <w:r>
        <w:separator/>
      </w:r>
    </w:p>
  </w:footnote>
  <w:footnote w:type="continuationSeparator" w:id="0">
    <w:p w14:paraId="6DA8F71D" w14:textId="77777777" w:rsidR="00BA2C2C" w:rsidRDefault="00BA2C2C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 w:rsidP="007A766E">
      <w:pPr>
        <w:pStyle w:val="Textpoznpodarou"/>
        <w:suppressLineNumbers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A3D4D"/>
    <w:multiLevelType w:val="hybridMultilevel"/>
    <w:tmpl w:val="9E386B88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B38C0"/>
    <w:multiLevelType w:val="hybridMultilevel"/>
    <w:tmpl w:val="DEE0BD7C"/>
    <w:lvl w:ilvl="0" w:tplc="36EA07D6">
      <w:numFmt w:val="bullet"/>
      <w:lvlText w:val="-"/>
      <w:lvlJc w:val="left"/>
      <w:pPr>
        <w:ind w:left="473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367781">
    <w:abstractNumId w:val="22"/>
  </w:num>
  <w:num w:numId="2" w16cid:durableId="1320965065">
    <w:abstractNumId w:val="20"/>
  </w:num>
  <w:num w:numId="3" w16cid:durableId="263541561">
    <w:abstractNumId w:val="8"/>
  </w:num>
  <w:num w:numId="4" w16cid:durableId="77947028">
    <w:abstractNumId w:val="21"/>
  </w:num>
  <w:num w:numId="5" w16cid:durableId="1339963780">
    <w:abstractNumId w:val="19"/>
  </w:num>
  <w:num w:numId="6" w16cid:durableId="1503424098">
    <w:abstractNumId w:val="1"/>
  </w:num>
  <w:num w:numId="7" w16cid:durableId="293291981">
    <w:abstractNumId w:val="3"/>
  </w:num>
  <w:num w:numId="8" w16cid:durableId="2084637569">
    <w:abstractNumId w:val="23"/>
  </w:num>
  <w:num w:numId="9" w16cid:durableId="795290877">
    <w:abstractNumId w:val="35"/>
  </w:num>
  <w:num w:numId="10" w16cid:durableId="1768847903">
    <w:abstractNumId w:val="14"/>
  </w:num>
  <w:num w:numId="11" w16cid:durableId="586427727">
    <w:abstractNumId w:val="10"/>
  </w:num>
  <w:num w:numId="12" w16cid:durableId="660164036">
    <w:abstractNumId w:val="27"/>
  </w:num>
  <w:num w:numId="13" w16cid:durableId="1376850809">
    <w:abstractNumId w:val="30"/>
  </w:num>
  <w:num w:numId="14" w16cid:durableId="1110127483">
    <w:abstractNumId w:val="28"/>
  </w:num>
  <w:num w:numId="15" w16cid:durableId="605693154">
    <w:abstractNumId w:val="36"/>
  </w:num>
  <w:num w:numId="16" w16cid:durableId="988753228">
    <w:abstractNumId w:val="9"/>
  </w:num>
  <w:num w:numId="17" w16cid:durableId="1882667718">
    <w:abstractNumId w:val="41"/>
  </w:num>
  <w:num w:numId="18" w16cid:durableId="368378148">
    <w:abstractNumId w:val="32"/>
  </w:num>
  <w:num w:numId="19" w16cid:durableId="1831411233">
    <w:abstractNumId w:val="24"/>
  </w:num>
  <w:num w:numId="20" w16cid:durableId="1060833524">
    <w:abstractNumId w:val="25"/>
  </w:num>
  <w:num w:numId="21" w16cid:durableId="1743526247">
    <w:abstractNumId w:val="16"/>
  </w:num>
  <w:num w:numId="22" w16cid:durableId="67070682">
    <w:abstractNumId w:val="18"/>
  </w:num>
  <w:num w:numId="23" w16cid:durableId="1400640477">
    <w:abstractNumId w:val="11"/>
  </w:num>
  <w:num w:numId="24" w16cid:durableId="2056199533">
    <w:abstractNumId w:val="6"/>
  </w:num>
  <w:num w:numId="25" w16cid:durableId="1389187116">
    <w:abstractNumId w:val="40"/>
  </w:num>
  <w:num w:numId="26" w16cid:durableId="1347747957">
    <w:abstractNumId w:val="38"/>
  </w:num>
  <w:num w:numId="27" w16cid:durableId="97986130">
    <w:abstractNumId w:val="13"/>
  </w:num>
  <w:num w:numId="28" w16cid:durableId="16275606">
    <w:abstractNumId w:val="15"/>
  </w:num>
  <w:num w:numId="29" w16cid:durableId="1081952754">
    <w:abstractNumId w:val="37"/>
  </w:num>
  <w:num w:numId="30" w16cid:durableId="1312558567">
    <w:abstractNumId w:val="7"/>
  </w:num>
  <w:num w:numId="31" w16cid:durableId="742264004">
    <w:abstractNumId w:val="31"/>
  </w:num>
  <w:num w:numId="32" w16cid:durableId="617759757">
    <w:abstractNumId w:val="29"/>
  </w:num>
  <w:num w:numId="33" w16cid:durableId="1991984059">
    <w:abstractNumId w:val="39"/>
  </w:num>
  <w:num w:numId="34" w16cid:durableId="1088161674">
    <w:abstractNumId w:val="2"/>
  </w:num>
  <w:num w:numId="35" w16cid:durableId="1732848778">
    <w:abstractNumId w:val="33"/>
  </w:num>
  <w:num w:numId="36" w16cid:durableId="306905379">
    <w:abstractNumId w:val="5"/>
  </w:num>
  <w:num w:numId="37" w16cid:durableId="180900468">
    <w:abstractNumId w:val="4"/>
  </w:num>
  <w:num w:numId="38" w16cid:durableId="1347442491">
    <w:abstractNumId w:val="17"/>
  </w:num>
  <w:num w:numId="39" w16cid:durableId="1630815517">
    <w:abstractNumId w:val="26"/>
  </w:num>
  <w:num w:numId="40" w16cid:durableId="930620815">
    <w:abstractNumId w:val="0"/>
  </w:num>
  <w:num w:numId="41" w16cid:durableId="777875337">
    <w:abstractNumId w:val="12"/>
  </w:num>
  <w:num w:numId="42" w16cid:durableId="20235826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31D0B"/>
    <w:rsid w:val="00044F97"/>
    <w:rsid w:val="00055303"/>
    <w:rsid w:val="000569AF"/>
    <w:rsid w:val="00064023"/>
    <w:rsid w:val="00077332"/>
    <w:rsid w:val="000779F6"/>
    <w:rsid w:val="000825C7"/>
    <w:rsid w:val="000874EF"/>
    <w:rsid w:val="0009111C"/>
    <w:rsid w:val="000A6458"/>
    <w:rsid w:val="000B05CF"/>
    <w:rsid w:val="000B231D"/>
    <w:rsid w:val="000D0BB1"/>
    <w:rsid w:val="000E05BE"/>
    <w:rsid w:val="000E523A"/>
    <w:rsid w:val="001C55C2"/>
    <w:rsid w:val="001D0BDE"/>
    <w:rsid w:val="001E13DF"/>
    <w:rsid w:val="001F0061"/>
    <w:rsid w:val="00216003"/>
    <w:rsid w:val="00243C48"/>
    <w:rsid w:val="002A49BF"/>
    <w:rsid w:val="002B5A8C"/>
    <w:rsid w:val="002B784A"/>
    <w:rsid w:val="002C2179"/>
    <w:rsid w:val="002D19AE"/>
    <w:rsid w:val="002F306E"/>
    <w:rsid w:val="00301025"/>
    <w:rsid w:val="0031629B"/>
    <w:rsid w:val="003242C2"/>
    <w:rsid w:val="003331F0"/>
    <w:rsid w:val="00350CEA"/>
    <w:rsid w:val="00351BCA"/>
    <w:rsid w:val="00353A66"/>
    <w:rsid w:val="003B43EC"/>
    <w:rsid w:val="003E4092"/>
    <w:rsid w:val="00404FBB"/>
    <w:rsid w:val="004413D5"/>
    <w:rsid w:val="00454309"/>
    <w:rsid w:val="00456B24"/>
    <w:rsid w:val="00494E10"/>
    <w:rsid w:val="004C308A"/>
    <w:rsid w:val="004C67D4"/>
    <w:rsid w:val="004E40A5"/>
    <w:rsid w:val="004F6AE0"/>
    <w:rsid w:val="00511967"/>
    <w:rsid w:val="00530113"/>
    <w:rsid w:val="00576A2A"/>
    <w:rsid w:val="00591AAA"/>
    <w:rsid w:val="00591EC3"/>
    <w:rsid w:val="005B181B"/>
    <w:rsid w:val="005B75E0"/>
    <w:rsid w:val="005C06A9"/>
    <w:rsid w:val="005D6B45"/>
    <w:rsid w:val="005D748C"/>
    <w:rsid w:val="005E2D1D"/>
    <w:rsid w:val="005F591A"/>
    <w:rsid w:val="005F7FAE"/>
    <w:rsid w:val="00602650"/>
    <w:rsid w:val="00602A81"/>
    <w:rsid w:val="00602C0A"/>
    <w:rsid w:val="00616355"/>
    <w:rsid w:val="00620A53"/>
    <w:rsid w:val="0062486B"/>
    <w:rsid w:val="0063161B"/>
    <w:rsid w:val="0065481A"/>
    <w:rsid w:val="00677DEE"/>
    <w:rsid w:val="00693268"/>
    <w:rsid w:val="006A579C"/>
    <w:rsid w:val="006B04F4"/>
    <w:rsid w:val="00700F9A"/>
    <w:rsid w:val="0070259B"/>
    <w:rsid w:val="00707BE0"/>
    <w:rsid w:val="00742156"/>
    <w:rsid w:val="007458BC"/>
    <w:rsid w:val="00755FBF"/>
    <w:rsid w:val="007A427F"/>
    <w:rsid w:val="007A766E"/>
    <w:rsid w:val="007B0B47"/>
    <w:rsid w:val="007C01F6"/>
    <w:rsid w:val="007C37C7"/>
    <w:rsid w:val="007D5D4E"/>
    <w:rsid w:val="007D7E18"/>
    <w:rsid w:val="007E179F"/>
    <w:rsid w:val="007E356E"/>
    <w:rsid w:val="007E71AA"/>
    <w:rsid w:val="007F0939"/>
    <w:rsid w:val="008203DE"/>
    <w:rsid w:val="00830180"/>
    <w:rsid w:val="00831EA0"/>
    <w:rsid w:val="00836FDB"/>
    <w:rsid w:val="00847970"/>
    <w:rsid w:val="00850799"/>
    <w:rsid w:val="00851AAA"/>
    <w:rsid w:val="0087706C"/>
    <w:rsid w:val="008777C0"/>
    <w:rsid w:val="00882D50"/>
    <w:rsid w:val="0089430B"/>
    <w:rsid w:val="008B09E5"/>
    <w:rsid w:val="008C7E8B"/>
    <w:rsid w:val="008F3B43"/>
    <w:rsid w:val="008F5F47"/>
    <w:rsid w:val="00925061"/>
    <w:rsid w:val="00932C21"/>
    <w:rsid w:val="0096577E"/>
    <w:rsid w:val="0097144B"/>
    <w:rsid w:val="00971E71"/>
    <w:rsid w:val="00973D8C"/>
    <w:rsid w:val="00990770"/>
    <w:rsid w:val="009965E9"/>
    <w:rsid w:val="009F74FB"/>
    <w:rsid w:val="00A00D90"/>
    <w:rsid w:val="00A07872"/>
    <w:rsid w:val="00A451FE"/>
    <w:rsid w:val="00A57AF1"/>
    <w:rsid w:val="00A611E0"/>
    <w:rsid w:val="00A6397B"/>
    <w:rsid w:val="00A64EEE"/>
    <w:rsid w:val="00A66F60"/>
    <w:rsid w:val="00A73A90"/>
    <w:rsid w:val="00A81A2F"/>
    <w:rsid w:val="00A85602"/>
    <w:rsid w:val="00A90C6E"/>
    <w:rsid w:val="00AA3D05"/>
    <w:rsid w:val="00AC786D"/>
    <w:rsid w:val="00AF60FC"/>
    <w:rsid w:val="00B02671"/>
    <w:rsid w:val="00B05C96"/>
    <w:rsid w:val="00B070EE"/>
    <w:rsid w:val="00B77994"/>
    <w:rsid w:val="00B922C0"/>
    <w:rsid w:val="00B97081"/>
    <w:rsid w:val="00BA2C2C"/>
    <w:rsid w:val="00BE624E"/>
    <w:rsid w:val="00C15179"/>
    <w:rsid w:val="00C24386"/>
    <w:rsid w:val="00C335F8"/>
    <w:rsid w:val="00C35BD4"/>
    <w:rsid w:val="00C520D3"/>
    <w:rsid w:val="00C5262D"/>
    <w:rsid w:val="00CA7C69"/>
    <w:rsid w:val="00CB0B2B"/>
    <w:rsid w:val="00CC6EC1"/>
    <w:rsid w:val="00CF08FF"/>
    <w:rsid w:val="00D300EC"/>
    <w:rsid w:val="00D4368B"/>
    <w:rsid w:val="00D47652"/>
    <w:rsid w:val="00D63190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5371"/>
    <w:rsid w:val="00E872FB"/>
    <w:rsid w:val="00E9753A"/>
    <w:rsid w:val="00EB1F44"/>
    <w:rsid w:val="00EB318C"/>
    <w:rsid w:val="00EC763D"/>
    <w:rsid w:val="00F032E3"/>
    <w:rsid w:val="00F21A0F"/>
    <w:rsid w:val="00F61EA1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Nzev">
    <w:name w:val="Title"/>
    <w:basedOn w:val="Normln"/>
    <w:link w:val="NzevChar"/>
    <w:qFormat/>
    <w:rsid w:val="003B43EC"/>
    <w:pPr>
      <w:autoSpaceDE w:val="0"/>
      <w:autoSpaceDN w:val="0"/>
      <w:spacing w:after="0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3B43EC"/>
    <w:rPr>
      <w:rFonts w:ascii="Times New Roman" w:eastAsia="Times New Roman" w:hAnsi="Times New Roman" w:cs="Times New Roman"/>
      <w:b/>
      <w:bCs/>
      <w:sz w:val="44"/>
      <w:szCs w:val="4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Martina Kopřivová</cp:lastModifiedBy>
  <cp:revision>6</cp:revision>
  <cp:lastPrinted>2025-06-02T10:21:00Z</cp:lastPrinted>
  <dcterms:created xsi:type="dcterms:W3CDTF">2025-05-14T08:59:00Z</dcterms:created>
  <dcterms:modified xsi:type="dcterms:W3CDTF">2025-06-02T10:22:00Z</dcterms:modified>
</cp:coreProperties>
</file>