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9EE2" w14:textId="480E5D48" w:rsidR="001D0621" w:rsidRDefault="001D0621" w:rsidP="001D0621">
      <w:pPr>
        <w:pStyle w:val="Nadpis1"/>
      </w:pPr>
      <w:r>
        <w:t xml:space="preserve">Obecně závazná vyhláška obce Chýnice č. </w:t>
      </w:r>
      <w:r w:rsidR="001C17D7">
        <w:t>3</w:t>
      </w:r>
      <w:r>
        <w:t>/2021</w:t>
      </w:r>
    </w:p>
    <w:p w14:paraId="0DDF30BF" w14:textId="7263ECBC" w:rsidR="001D0621" w:rsidRDefault="001C17D7" w:rsidP="006D2348">
      <w:pPr>
        <w:jc w:val="center"/>
        <w:rPr>
          <w:rFonts w:eastAsiaTheme="majorEastAsia" w:cstheme="minorHAnsi"/>
          <w:b/>
          <w:color w:val="2E74B5" w:themeColor="accent1" w:themeShade="BF"/>
          <w:sz w:val="32"/>
          <w:szCs w:val="32"/>
        </w:rPr>
      </w:pPr>
      <w:r w:rsidRPr="001C17D7">
        <w:rPr>
          <w:rFonts w:eastAsiaTheme="majorEastAsia" w:cstheme="minorHAnsi"/>
          <w:b/>
          <w:color w:val="2E74B5" w:themeColor="accent1" w:themeShade="BF"/>
          <w:sz w:val="32"/>
          <w:szCs w:val="32"/>
        </w:rPr>
        <w:t>o regulaci hlučných činností</w:t>
      </w:r>
    </w:p>
    <w:p w14:paraId="04CF8812" w14:textId="77777777" w:rsidR="006D2348" w:rsidRPr="006D2348" w:rsidRDefault="006D2348" w:rsidP="006D2348">
      <w:pPr>
        <w:jc w:val="center"/>
        <w:rPr>
          <w:rFonts w:eastAsiaTheme="majorEastAsia" w:cstheme="minorHAnsi"/>
          <w:b/>
          <w:color w:val="2E74B5" w:themeColor="accent1" w:themeShade="BF"/>
          <w:sz w:val="32"/>
          <w:szCs w:val="32"/>
        </w:rPr>
      </w:pPr>
    </w:p>
    <w:p w14:paraId="0596415B" w14:textId="222276AF" w:rsidR="001D0621" w:rsidRDefault="001D0621" w:rsidP="004E22AA">
      <w:r w:rsidRPr="001D0621">
        <w:t xml:space="preserve">Zastupitelstvo obce Chýnice se na svém zasedání dne </w:t>
      </w:r>
      <w:r w:rsidR="003613CB">
        <w:t>14</w:t>
      </w:r>
      <w:r>
        <w:t>.</w:t>
      </w:r>
      <w:r w:rsidR="003613CB">
        <w:t>9</w:t>
      </w:r>
      <w:r>
        <w:t>.2021</w:t>
      </w:r>
      <w:r w:rsidRPr="001D0621">
        <w:t xml:space="preserve"> usnesením č. </w:t>
      </w:r>
      <w:r w:rsidR="003613CB">
        <w:t>10</w:t>
      </w:r>
      <w:r w:rsidRPr="001D0621">
        <w:t>/</w:t>
      </w:r>
      <w:r>
        <w:t>0</w:t>
      </w:r>
      <w:r w:rsidR="003613CB">
        <w:t>3</w:t>
      </w:r>
      <w:r w:rsidRPr="001D0621">
        <w:t xml:space="preserve">/2021 usneslo </w:t>
      </w:r>
      <w:r w:rsidR="004E22AA">
        <w:t>vydat na základě ustanovení § 10 písm. a) a ustanoveni § 84 odst. 2 písm. h) zákona č. 128/2000 Sb., o obcích (obecní zřízení), ve znění pozdějších předpisů, tuto obecně závaznou</w:t>
      </w:r>
      <w:r w:rsidR="001C17D7">
        <w:t xml:space="preserve"> </w:t>
      </w:r>
      <w:r w:rsidR="004E22AA">
        <w:t xml:space="preserve">vyhlášku </w:t>
      </w:r>
      <w:r w:rsidR="001C17D7">
        <w:t>(dále jen „vyhláška“)</w:t>
      </w:r>
      <w:r w:rsidRPr="001D0621">
        <w:t>:</w:t>
      </w:r>
    </w:p>
    <w:p w14:paraId="15405863" w14:textId="0E95555D" w:rsidR="001D0621" w:rsidRDefault="001D0621" w:rsidP="001D0621">
      <w:pPr>
        <w:pStyle w:val="Nadpis2"/>
        <w:jc w:val="center"/>
      </w:pPr>
      <w:r>
        <w:t>Čl. 1</w:t>
      </w:r>
    </w:p>
    <w:p w14:paraId="62C0BFEB" w14:textId="038D1B9B" w:rsidR="001D0621" w:rsidRDefault="001C17D7" w:rsidP="006D2348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  <w:t>Úvodní ustanovení</w:t>
      </w:r>
    </w:p>
    <w:p w14:paraId="731B7A77" w14:textId="79B215CA" w:rsidR="001B05F8" w:rsidRDefault="001C17D7" w:rsidP="001B05F8">
      <w:pPr>
        <w:pStyle w:val="Odstavecseseznamem"/>
        <w:numPr>
          <w:ilvl w:val="0"/>
          <w:numId w:val="6"/>
        </w:numPr>
        <w:spacing w:before="120" w:after="0" w:line="240" w:lineRule="auto"/>
        <w:ind w:left="425" w:hanging="425"/>
        <w:contextualSpacing w:val="0"/>
      </w:pPr>
      <w:r>
        <w:t>Účelem této vyhlášky je přijetí opatření k ochraně před hlukem v rámci zabezpečení místních záležitostí veřejného pořádku jako stavu, který umožňuje pokojné soužití občanů i návštěvníků obce a vytváří předpoklad pro příznivé podmínky pro život v obci.</w:t>
      </w:r>
    </w:p>
    <w:p w14:paraId="44B8B9CA" w14:textId="45086603" w:rsidR="001C17D7" w:rsidRDefault="001C17D7" w:rsidP="001B05F8">
      <w:pPr>
        <w:pStyle w:val="Odstavecseseznamem"/>
        <w:numPr>
          <w:ilvl w:val="0"/>
          <w:numId w:val="6"/>
        </w:numPr>
        <w:spacing w:before="120" w:after="0" w:line="240" w:lineRule="auto"/>
        <w:ind w:left="425" w:hanging="425"/>
        <w:contextualSpacing w:val="0"/>
      </w:pPr>
      <w:r>
        <w:t>Předmětem této vyhlášky je regulace činností, které by mohly narušit veřejný pořádek.</w:t>
      </w:r>
    </w:p>
    <w:p w14:paraId="4512296C" w14:textId="4F84C73B" w:rsidR="006D2348" w:rsidRDefault="006D2348" w:rsidP="001C17D7">
      <w:pPr>
        <w:pStyle w:val="Odstavecseseznamem"/>
        <w:ind w:left="426"/>
      </w:pPr>
    </w:p>
    <w:p w14:paraId="21C0CB71" w14:textId="77777777" w:rsidR="001D0621" w:rsidRDefault="001D0621" w:rsidP="001D0621">
      <w:pPr>
        <w:pStyle w:val="Nadpis2"/>
        <w:jc w:val="center"/>
      </w:pPr>
      <w:r>
        <w:t>Čl. 2</w:t>
      </w:r>
    </w:p>
    <w:p w14:paraId="6BD3BD7D" w14:textId="71155704" w:rsidR="001C17D7" w:rsidRPr="001C17D7" w:rsidRDefault="004E22AA" w:rsidP="001C17D7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  <w:t>Vymezení rušivých činností</w:t>
      </w:r>
    </w:p>
    <w:p w14:paraId="080376C9" w14:textId="32C2AC75" w:rsidR="001C17D7" w:rsidRPr="004E22AA" w:rsidRDefault="001C17D7" w:rsidP="001B05F8">
      <w:pPr>
        <w:pStyle w:val="Odstavecseseznamem"/>
        <w:numPr>
          <w:ilvl w:val="0"/>
          <w:numId w:val="14"/>
        </w:numPr>
        <w:spacing w:before="120" w:after="0" w:line="240" w:lineRule="auto"/>
        <w:ind w:left="426"/>
        <w:contextualSpacing w:val="0"/>
      </w:pPr>
      <w:r w:rsidRPr="004E22AA">
        <w:t>Činnostmi, které by mohly narušit veřejný pořádek nebo být v rozporu s dobrými mravy či ochranou bezpečnosti, zdraví a majetku, j</w:t>
      </w:r>
      <w:r w:rsidR="004E22AA" w:rsidRPr="004E22AA">
        <w:t>e používání hlučných strojů, přístrojů a jiných zařízeni v době stanovené v či. 3 této OZV.</w:t>
      </w:r>
      <w:r w:rsidRPr="004E22AA">
        <w:t xml:space="preserve"> </w:t>
      </w:r>
    </w:p>
    <w:p w14:paraId="604E5133" w14:textId="77777777" w:rsidR="001C17D7" w:rsidRDefault="001C17D7" w:rsidP="004E22AA">
      <w:pPr>
        <w:ind w:left="-2"/>
      </w:pPr>
    </w:p>
    <w:p w14:paraId="7DD816CE" w14:textId="6874B4F0" w:rsidR="00F01294" w:rsidRDefault="00F01294" w:rsidP="004E22AA">
      <w:pPr>
        <w:pStyle w:val="Nadpis2"/>
        <w:jc w:val="center"/>
      </w:pPr>
      <w:r>
        <w:t xml:space="preserve">Čl. </w:t>
      </w:r>
      <w:r w:rsidR="006D2348">
        <w:t>3</w:t>
      </w:r>
    </w:p>
    <w:p w14:paraId="68BB2E85" w14:textId="13020215" w:rsidR="00F01294" w:rsidRDefault="004E22AA" w:rsidP="004E22AA">
      <w:pPr>
        <w:pStyle w:val="Nadpis2"/>
        <w:jc w:val="center"/>
      </w:pPr>
      <w:r>
        <w:t>Omezení hlučných strojů, přístrojů a zařízení</w:t>
      </w:r>
    </w:p>
    <w:p w14:paraId="2F0CEF66" w14:textId="3CEEF2AE" w:rsidR="00670DC7" w:rsidRDefault="00670DC7" w:rsidP="003613CB">
      <w:pPr>
        <w:pStyle w:val="Odstavecseseznamem"/>
        <w:numPr>
          <w:ilvl w:val="0"/>
          <w:numId w:val="15"/>
        </w:numPr>
        <w:spacing w:before="120" w:after="0" w:line="240" w:lineRule="auto"/>
        <w:ind w:left="425" w:hanging="425"/>
        <w:contextualSpacing w:val="0"/>
      </w:pPr>
      <w:bookmarkStart w:id="0" w:name="_Hlk75354926"/>
      <w:r>
        <w:t xml:space="preserve">V Intravilánu obce a ve vzdálenosti 100 m od poslední stavby obce, je </w:t>
      </w:r>
      <w:r w:rsidRPr="00C24AD5">
        <w:t xml:space="preserve">zakázáno užívání </w:t>
      </w:r>
      <w:r>
        <w:t>těžké</w:t>
      </w:r>
      <w:r w:rsidRPr="00C24AD5">
        <w:t xml:space="preserve"> stavební mechanizace jako jsou bagry</w:t>
      </w:r>
      <w:r>
        <w:t xml:space="preserve"> (s výjimkou minibagrů)</w:t>
      </w:r>
      <w:r w:rsidRPr="00C24AD5">
        <w:t>, buldozery, nakladače, pumpy na beton</w:t>
      </w:r>
      <w:r>
        <w:t>, kompresory</w:t>
      </w:r>
      <w:r w:rsidRPr="00C24AD5">
        <w:t xml:space="preserve"> apod. </w:t>
      </w:r>
      <w:r w:rsidRPr="001B05F8">
        <w:rPr>
          <w:b/>
          <w:bCs/>
        </w:rPr>
        <w:t>ve všední dny po 20:00 večer</w:t>
      </w:r>
      <w:r w:rsidR="00093ED4">
        <w:rPr>
          <w:b/>
          <w:bCs/>
        </w:rPr>
        <w:t>, v sobotu, v neděli a ve dnech státem uznaných svátků</w:t>
      </w:r>
      <w:r>
        <w:t>.</w:t>
      </w:r>
      <w:r w:rsidRPr="00C24AD5">
        <w:t xml:space="preserve"> </w:t>
      </w:r>
    </w:p>
    <w:p w14:paraId="74AE73F1" w14:textId="18E9F25D" w:rsidR="00F05319" w:rsidRDefault="00C24AD5" w:rsidP="003613CB">
      <w:pPr>
        <w:pStyle w:val="Odstavecseseznamem"/>
        <w:numPr>
          <w:ilvl w:val="0"/>
          <w:numId w:val="15"/>
        </w:numPr>
        <w:spacing w:before="120" w:after="0" w:line="240" w:lineRule="auto"/>
        <w:ind w:left="426"/>
        <w:contextualSpacing w:val="0"/>
      </w:pPr>
      <w:r>
        <w:t>V Intravilánu obce a ve vzdálenosti 100 m od poslední stavby obce, j</w:t>
      </w:r>
      <w:r w:rsidR="004E22AA">
        <w:t xml:space="preserve">e zakázáno užívání hlučných strojů, přístrojů a zařízení, jako jsou </w:t>
      </w:r>
      <w:r w:rsidR="00670DC7">
        <w:t xml:space="preserve">drobné zahradní </w:t>
      </w:r>
      <w:r w:rsidR="003613CB">
        <w:t xml:space="preserve">a ruční </w:t>
      </w:r>
      <w:r w:rsidR="00670DC7">
        <w:t xml:space="preserve">stroje, </w:t>
      </w:r>
      <w:r w:rsidR="003613CB">
        <w:t xml:space="preserve">jako </w:t>
      </w:r>
      <w:r w:rsidR="00670DC7">
        <w:t xml:space="preserve">např. </w:t>
      </w:r>
      <w:r w:rsidR="003613CB">
        <w:t xml:space="preserve">motorové </w:t>
      </w:r>
      <w:r w:rsidR="004E22AA">
        <w:t xml:space="preserve">sekačky na trávu, </w:t>
      </w:r>
      <w:r w:rsidR="001B05F8">
        <w:t xml:space="preserve">zahradní traktůrky, </w:t>
      </w:r>
      <w:r w:rsidR="004E22AA">
        <w:t xml:space="preserve">drtičky dřeva, křovinořezy, řetězové a kotoučové pily, </w:t>
      </w:r>
      <w:r w:rsidR="00670DC7">
        <w:t xml:space="preserve">rozbrusky, </w:t>
      </w:r>
      <w:r w:rsidR="004E22AA">
        <w:t xml:space="preserve">pneumatická kladiva, </w:t>
      </w:r>
      <w:r w:rsidR="00093ED4">
        <w:t xml:space="preserve">minibagry, apod. </w:t>
      </w:r>
      <w:r w:rsidR="00F219F7" w:rsidRPr="00F219F7">
        <w:rPr>
          <w:b/>
          <w:bCs/>
        </w:rPr>
        <w:t>od</w:t>
      </w:r>
      <w:r w:rsidR="00670DC7">
        <w:rPr>
          <w:b/>
          <w:bCs/>
        </w:rPr>
        <w:t xml:space="preserve"> 12:00</w:t>
      </w:r>
      <w:r w:rsidR="00F219F7" w:rsidRPr="00F219F7">
        <w:rPr>
          <w:b/>
          <w:bCs/>
        </w:rPr>
        <w:t xml:space="preserve"> </w:t>
      </w:r>
      <w:r w:rsidR="00670DC7">
        <w:rPr>
          <w:b/>
          <w:bCs/>
        </w:rPr>
        <w:t>do večera, vždy</w:t>
      </w:r>
      <w:r w:rsidR="00F219F7" w:rsidRPr="00F219F7">
        <w:rPr>
          <w:b/>
          <w:bCs/>
        </w:rPr>
        <w:t xml:space="preserve"> v neděli a ve dn</w:t>
      </w:r>
      <w:r w:rsidR="00F219F7">
        <w:rPr>
          <w:b/>
          <w:bCs/>
        </w:rPr>
        <w:t>ech</w:t>
      </w:r>
      <w:r w:rsidR="00F219F7" w:rsidRPr="00F219F7">
        <w:rPr>
          <w:b/>
          <w:bCs/>
        </w:rPr>
        <w:t xml:space="preserve"> státem uznaných svátků</w:t>
      </w:r>
      <w:r>
        <w:t xml:space="preserve">. </w:t>
      </w:r>
    </w:p>
    <w:p w14:paraId="620393DA" w14:textId="77777777" w:rsidR="00F05319" w:rsidRDefault="00F05319">
      <w:pPr>
        <w:jc w:val="left"/>
      </w:pPr>
      <w:r>
        <w:br w:type="page"/>
      </w:r>
    </w:p>
    <w:p w14:paraId="2FB01355" w14:textId="6C3A9FDE" w:rsidR="003613CB" w:rsidRPr="003613CB" w:rsidRDefault="00093ED4" w:rsidP="003613CB">
      <w:pPr>
        <w:pStyle w:val="Odstavecseseznamem"/>
        <w:numPr>
          <w:ilvl w:val="0"/>
          <w:numId w:val="15"/>
        </w:numPr>
        <w:spacing w:before="120" w:after="0" w:line="240" w:lineRule="auto"/>
        <w:ind w:left="426"/>
        <w:contextualSpacing w:val="0"/>
      </w:pPr>
      <w:r>
        <w:lastRenderedPageBreak/>
        <w:t xml:space="preserve">Omezení v bodě </w:t>
      </w:r>
      <w:r w:rsidR="00F05319">
        <w:t>1</w:t>
      </w:r>
      <w:r>
        <w:t xml:space="preserve">. a </w:t>
      </w:r>
      <w:r w:rsidR="00F05319">
        <w:t>2</w:t>
      </w:r>
      <w:r>
        <w:t>. lze zjednodušeně vyložit jako</w:t>
      </w:r>
      <w:r w:rsidR="003613CB">
        <w:t>:</w:t>
      </w:r>
    </w:p>
    <w:p w14:paraId="52243531" w14:textId="4B209B34" w:rsidR="003613CB" w:rsidRPr="003613CB" w:rsidRDefault="003613CB" w:rsidP="003613CB">
      <w:pPr>
        <w:pStyle w:val="Odstavecseseznamem"/>
        <w:numPr>
          <w:ilvl w:val="1"/>
          <w:numId w:val="15"/>
        </w:numPr>
        <w:spacing w:before="120" w:after="0" w:line="240" w:lineRule="auto"/>
        <w:contextualSpacing w:val="0"/>
        <w:rPr>
          <w:b/>
          <w:bCs/>
        </w:rPr>
      </w:pPr>
      <w:r w:rsidRPr="003613CB">
        <w:rPr>
          <w:b/>
          <w:bCs/>
        </w:rPr>
        <w:t>z</w:t>
      </w:r>
      <w:r w:rsidR="00093ED4" w:rsidRPr="003613CB">
        <w:rPr>
          <w:b/>
          <w:bCs/>
        </w:rPr>
        <w:t>ákaz práce těžké a hlučné mechanizace o večerech, víkendech a státem uznaných svátcích</w:t>
      </w:r>
      <w:r w:rsidRPr="003613CB">
        <w:t>, a tím</w:t>
      </w:r>
      <w:r>
        <w:rPr>
          <w:b/>
          <w:bCs/>
        </w:rPr>
        <w:t xml:space="preserve"> </w:t>
      </w:r>
      <w:r>
        <w:t>eliminace obtěžování občanů hlukem ze staveb a podnikatelských provozů mimo všední dny a mimo běžnou a únosnou, denní pracovní dobu.</w:t>
      </w:r>
    </w:p>
    <w:p w14:paraId="1D302495" w14:textId="5885A427" w:rsidR="00670DC7" w:rsidRPr="003613CB" w:rsidRDefault="003613CB" w:rsidP="003613CB">
      <w:pPr>
        <w:pStyle w:val="Odstavecseseznamem"/>
        <w:numPr>
          <w:ilvl w:val="1"/>
          <w:numId w:val="15"/>
        </w:numPr>
        <w:spacing w:before="120" w:after="0" w:line="240" w:lineRule="auto"/>
        <w:contextualSpacing w:val="0"/>
        <w:rPr>
          <w:b/>
          <w:bCs/>
        </w:rPr>
      </w:pPr>
      <w:r w:rsidRPr="003613CB">
        <w:rPr>
          <w:b/>
          <w:bCs/>
        </w:rPr>
        <w:t xml:space="preserve">stanovení období </w:t>
      </w:r>
      <w:r w:rsidR="00F05319">
        <w:rPr>
          <w:b/>
          <w:bCs/>
        </w:rPr>
        <w:t xml:space="preserve">úplného </w:t>
      </w:r>
      <w:r w:rsidRPr="003613CB">
        <w:rPr>
          <w:b/>
          <w:bCs/>
        </w:rPr>
        <w:t>klidu na odpoledne a večer o nedělích a státem uznaných svát</w:t>
      </w:r>
      <w:r>
        <w:rPr>
          <w:b/>
          <w:bCs/>
        </w:rPr>
        <w:t>c</w:t>
      </w:r>
      <w:r w:rsidRPr="003613CB">
        <w:rPr>
          <w:b/>
          <w:bCs/>
        </w:rPr>
        <w:t xml:space="preserve">ích. </w:t>
      </w:r>
    </w:p>
    <w:bookmarkEnd w:id="0"/>
    <w:p w14:paraId="4F48FBDB" w14:textId="726E3C2B" w:rsidR="00C24AD5" w:rsidRDefault="00C24AD5" w:rsidP="00C24AD5">
      <w:pPr>
        <w:pStyle w:val="Nadpis2"/>
        <w:jc w:val="center"/>
      </w:pPr>
      <w:r>
        <w:t xml:space="preserve">Čl. </w:t>
      </w:r>
      <w:r w:rsidR="00FF18F6">
        <w:t>4</w:t>
      </w:r>
    </w:p>
    <w:p w14:paraId="088CE839" w14:textId="77777777" w:rsidR="00C24AD5" w:rsidRDefault="00C24AD5" w:rsidP="00C24AD5">
      <w:pPr>
        <w:pStyle w:val="Nadpis2"/>
        <w:jc w:val="center"/>
        <w:rPr>
          <w:rFonts w:asciiTheme="minorHAnsi" w:eastAsiaTheme="minorHAnsi" w:hAnsiTheme="minorHAnsi" w:cstheme="minorBidi"/>
          <w:b w:val="0"/>
          <w:color w:val="auto"/>
          <w:sz w:val="24"/>
          <w:szCs w:val="22"/>
          <w:u w:val="none"/>
        </w:rPr>
      </w:pPr>
      <w:r>
        <w:t>Obecné výjimky</w:t>
      </w:r>
      <w:r>
        <w:br/>
      </w:r>
    </w:p>
    <w:p w14:paraId="61B20D24" w14:textId="2C841315" w:rsidR="00C24AD5" w:rsidRDefault="00C24AD5" w:rsidP="001B05F8">
      <w:pPr>
        <w:pStyle w:val="Odstavecseseznamem"/>
        <w:numPr>
          <w:ilvl w:val="0"/>
          <w:numId w:val="16"/>
        </w:numPr>
        <w:spacing w:before="120" w:after="0" w:line="240" w:lineRule="auto"/>
        <w:ind w:left="426"/>
        <w:contextualSpacing w:val="0"/>
      </w:pPr>
      <w:r>
        <w:t xml:space="preserve">Omezeni uvedená v článku </w:t>
      </w:r>
      <w:r w:rsidR="00FF18F6">
        <w:t xml:space="preserve">3 </w:t>
      </w:r>
      <w:r>
        <w:t>se nevztahují na:</w:t>
      </w:r>
    </w:p>
    <w:p w14:paraId="06AF02A3" w14:textId="115813A5" w:rsidR="00C24AD5" w:rsidRDefault="00C24AD5" w:rsidP="001B05F8">
      <w:pPr>
        <w:pStyle w:val="Odstavecseseznamem"/>
        <w:numPr>
          <w:ilvl w:val="1"/>
          <w:numId w:val="16"/>
        </w:numPr>
        <w:spacing w:before="120" w:after="0" w:line="240" w:lineRule="auto"/>
        <w:ind w:left="851"/>
        <w:contextualSpacing w:val="0"/>
      </w:pPr>
      <w:r>
        <w:t>nezbytn</w:t>
      </w:r>
      <w:r w:rsidR="00FF18F6">
        <w:t>ě</w:t>
      </w:r>
      <w:r>
        <w:t xml:space="preserve"> nutná jedná</w:t>
      </w:r>
      <w:r w:rsidR="00FF18F6">
        <w:t>ní</w:t>
      </w:r>
      <w:r>
        <w:t xml:space="preserve"> vykonávaná v rámci sezónních prací v zemědělství,</w:t>
      </w:r>
    </w:p>
    <w:p w14:paraId="0304D18E" w14:textId="2F6E7189" w:rsidR="00C24AD5" w:rsidRDefault="00C24AD5" w:rsidP="001B05F8">
      <w:pPr>
        <w:pStyle w:val="Odstavecseseznamem"/>
        <w:numPr>
          <w:ilvl w:val="1"/>
          <w:numId w:val="16"/>
        </w:numPr>
        <w:spacing w:before="120" w:after="0" w:line="240" w:lineRule="auto"/>
        <w:ind w:left="851"/>
        <w:contextualSpacing w:val="0"/>
      </w:pPr>
      <w:r>
        <w:t>veřejné prospěšné stavby prováděné obc</w:t>
      </w:r>
      <w:r w:rsidR="00FF18F6">
        <w:t>í</w:t>
      </w:r>
      <w:r>
        <w:t>, krajem či státem,</w:t>
      </w:r>
    </w:p>
    <w:p w14:paraId="241F99D6" w14:textId="4FBC5F1C" w:rsidR="001B05F8" w:rsidRDefault="00C24AD5" w:rsidP="001B05F8">
      <w:pPr>
        <w:pStyle w:val="Odstavecseseznamem"/>
        <w:numPr>
          <w:ilvl w:val="1"/>
          <w:numId w:val="16"/>
        </w:numPr>
        <w:spacing w:before="120" w:after="0" w:line="240" w:lineRule="auto"/>
        <w:ind w:left="851"/>
        <w:contextualSpacing w:val="0"/>
      </w:pPr>
      <w:r>
        <w:t>údržbu veřejně prospěšných zařízení, komunikací a veřejných prostranství k</w:t>
      </w:r>
      <w:r w:rsidR="001B05F8">
        <w:t> </w:t>
      </w:r>
      <w:r>
        <w:t>tomu</w:t>
      </w:r>
      <w:r w:rsidR="001B05F8">
        <w:t xml:space="preserve"> </w:t>
      </w:r>
      <w:r>
        <w:t>oprávněnými osobami,</w:t>
      </w:r>
    </w:p>
    <w:p w14:paraId="079B521D" w14:textId="3FB3B8FA" w:rsidR="001B05F8" w:rsidRDefault="00C24AD5" w:rsidP="001B05F8">
      <w:pPr>
        <w:pStyle w:val="Odstavecseseznamem"/>
        <w:numPr>
          <w:ilvl w:val="1"/>
          <w:numId w:val="16"/>
        </w:numPr>
        <w:spacing w:before="120" w:after="0" w:line="240" w:lineRule="auto"/>
        <w:ind w:left="851"/>
        <w:contextualSpacing w:val="0"/>
      </w:pPr>
      <w:r>
        <w:t>na neodkladné činnosti související s odstraňováním následků havárii, přírodních kalamit a jiných událostí ohrožujících život, zd</w:t>
      </w:r>
      <w:r w:rsidR="001B05F8">
        <w:t>ra</w:t>
      </w:r>
      <w:r>
        <w:t>ví nebo majetek</w:t>
      </w:r>
      <w:r w:rsidR="001B05F8">
        <w:t>.</w:t>
      </w:r>
    </w:p>
    <w:p w14:paraId="51014AF3" w14:textId="683742C3" w:rsidR="00F01294" w:rsidRDefault="00F01294" w:rsidP="003613CB">
      <w:pPr>
        <w:pStyle w:val="Odstavecseseznamem"/>
        <w:spacing w:before="120" w:after="0" w:line="240" w:lineRule="auto"/>
        <w:ind w:left="426"/>
        <w:contextualSpacing w:val="0"/>
      </w:pPr>
    </w:p>
    <w:p w14:paraId="358FC9F3" w14:textId="515D4AAC" w:rsidR="00F01294" w:rsidRDefault="00F01294" w:rsidP="003E5175">
      <w:pPr>
        <w:pStyle w:val="Nadpis2"/>
        <w:jc w:val="center"/>
      </w:pPr>
      <w:r>
        <w:t xml:space="preserve">Čl. </w:t>
      </w:r>
      <w:r w:rsidR="00FF18F6">
        <w:t>5</w:t>
      </w:r>
    </w:p>
    <w:p w14:paraId="684343CB" w14:textId="495F2278" w:rsidR="00F01294" w:rsidRDefault="001B05F8" w:rsidP="003E5175">
      <w:pPr>
        <w:pStyle w:val="Nadpis2"/>
        <w:jc w:val="center"/>
      </w:pPr>
      <w:r>
        <w:t xml:space="preserve">Společná a závěrečná ustanovení </w:t>
      </w:r>
    </w:p>
    <w:p w14:paraId="778CBEC0" w14:textId="77777777" w:rsidR="00F01294" w:rsidRDefault="00F01294" w:rsidP="00F01294"/>
    <w:p w14:paraId="6A630D2B" w14:textId="77777777" w:rsidR="001B05F8" w:rsidRDefault="001B05F8" w:rsidP="00FF18F6">
      <w:pPr>
        <w:pStyle w:val="Odstavecseseznamem"/>
        <w:numPr>
          <w:ilvl w:val="0"/>
          <w:numId w:val="17"/>
        </w:numPr>
        <w:spacing w:before="120" w:after="0" w:line="240" w:lineRule="auto"/>
        <w:ind w:left="426"/>
        <w:contextualSpacing w:val="0"/>
      </w:pPr>
      <w:r w:rsidRPr="001B05F8">
        <w:t>Porušení ustanovení této vyhlášky lze postihovat podle zvláštních právních předpisů.</w:t>
      </w:r>
    </w:p>
    <w:p w14:paraId="760AA186" w14:textId="3B7AA043" w:rsidR="00F01294" w:rsidRDefault="00F01294" w:rsidP="00FF18F6">
      <w:pPr>
        <w:pStyle w:val="Odstavecseseznamem"/>
        <w:numPr>
          <w:ilvl w:val="0"/>
          <w:numId w:val="17"/>
        </w:numPr>
        <w:spacing w:before="120" w:after="0" w:line="240" w:lineRule="auto"/>
        <w:ind w:left="425" w:hanging="425"/>
        <w:contextualSpacing w:val="0"/>
      </w:pPr>
      <w:r>
        <w:t>Tato vyhláška nabývá účinnosti patnáctým dnem po dni vyhlášení</w:t>
      </w:r>
      <w:r w:rsidR="003E5175">
        <w:t xml:space="preserve"> a vyvěšení.</w:t>
      </w:r>
    </w:p>
    <w:p w14:paraId="1FF558AD" w14:textId="4F417E26" w:rsidR="003E5175" w:rsidRDefault="003E5175" w:rsidP="005467FE"/>
    <w:p w14:paraId="658A17EC" w14:textId="79DB4192" w:rsidR="003E5175" w:rsidRDefault="003E5175" w:rsidP="005467FE">
      <w:r>
        <w:t xml:space="preserve">V Chýnicích dne </w:t>
      </w:r>
      <w:r w:rsidR="00F219F7">
        <w:t>1</w:t>
      </w:r>
      <w:r w:rsidR="003613CB">
        <w:t>5</w:t>
      </w:r>
      <w:r>
        <w:t>.</w:t>
      </w:r>
      <w:r w:rsidR="00F219F7">
        <w:t>9</w:t>
      </w:r>
      <w:r>
        <w:t>.2021</w:t>
      </w:r>
    </w:p>
    <w:p w14:paraId="682706A5" w14:textId="38CB8AD6" w:rsidR="006040ED" w:rsidRDefault="006040ED" w:rsidP="005467FE">
      <w:pPr>
        <w:rPr>
          <w:noProof/>
        </w:rPr>
      </w:pPr>
    </w:p>
    <w:p w14:paraId="739A0064" w14:textId="77777777" w:rsidR="00FF18F6" w:rsidRDefault="00FF18F6" w:rsidP="005467FE">
      <w:pPr>
        <w:rPr>
          <w:noProof/>
        </w:rPr>
      </w:pPr>
    </w:p>
    <w:p w14:paraId="0D61E63C" w14:textId="77777777" w:rsidR="006040ED" w:rsidRDefault="006040ED" w:rsidP="005467FE"/>
    <w:p w14:paraId="7722FF4E" w14:textId="2FD1BB40" w:rsidR="009806AB" w:rsidRDefault="009806AB" w:rsidP="006040ED">
      <w:pPr>
        <w:tabs>
          <w:tab w:val="right" w:pos="9072"/>
        </w:tabs>
        <w:spacing w:after="0" w:line="240" w:lineRule="auto"/>
      </w:pPr>
      <w:r>
        <w:t>Ondřej Moravec</w:t>
      </w:r>
      <w:r w:rsidR="006040ED">
        <w:tab/>
        <w:t>MUDr. Ema Vávrová</w:t>
      </w:r>
    </w:p>
    <w:p w14:paraId="14A938CB" w14:textId="67CB4784" w:rsidR="009806AB" w:rsidRDefault="009806AB" w:rsidP="006040ED">
      <w:pPr>
        <w:tabs>
          <w:tab w:val="right" w:pos="9072"/>
        </w:tabs>
        <w:spacing w:after="0" w:line="240" w:lineRule="auto"/>
      </w:pPr>
      <w:r>
        <w:t>starosta obce</w:t>
      </w:r>
      <w:r w:rsidR="006040ED">
        <w:tab/>
        <w:t>místostarostka obce</w:t>
      </w:r>
    </w:p>
    <w:p w14:paraId="40167D8E" w14:textId="77777777" w:rsidR="003E5175" w:rsidRDefault="003E5175" w:rsidP="005467FE"/>
    <w:p w14:paraId="5B69FE93" w14:textId="338E71E0" w:rsidR="00987554" w:rsidRPr="001D0621" w:rsidRDefault="003E5175" w:rsidP="005467FE">
      <w:r>
        <w:t xml:space="preserve">Vyvěšeno dne: </w:t>
      </w:r>
      <w:r>
        <w:tab/>
      </w:r>
      <w:r w:rsidR="003613CB">
        <w:t>29</w:t>
      </w:r>
      <w:r>
        <w:t>.</w:t>
      </w:r>
      <w:r w:rsidR="00F219F7">
        <w:t>9</w:t>
      </w:r>
      <w:r>
        <w:t xml:space="preserve">.2021 </w:t>
      </w:r>
      <w:r w:rsidR="003613CB">
        <w:tab/>
      </w:r>
      <w:r w:rsidR="003613CB">
        <w:tab/>
      </w:r>
      <w:r w:rsidR="003613CB">
        <w:tab/>
      </w:r>
      <w:r w:rsidR="003613CB">
        <w:tab/>
        <w:t xml:space="preserve">Sejmuto dne: </w:t>
      </w:r>
      <w:r>
        <w:t xml:space="preserve"> </w:t>
      </w:r>
      <w:r>
        <w:tab/>
      </w:r>
    </w:p>
    <w:sectPr w:rsidR="00987554" w:rsidRPr="001D0621" w:rsidSect="00A42A6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A52C" w14:textId="77777777" w:rsidR="001D0621" w:rsidRDefault="001D0621" w:rsidP="00A42A60">
      <w:r>
        <w:separator/>
      </w:r>
    </w:p>
  </w:endnote>
  <w:endnote w:type="continuationSeparator" w:id="0">
    <w:p w14:paraId="01D22880" w14:textId="77777777" w:rsidR="001D0621" w:rsidRDefault="001D0621" w:rsidP="00A4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EC49" w14:textId="77777777" w:rsidR="002A3AE7" w:rsidRDefault="002A3AE7" w:rsidP="002A3AE7">
    <w:pPr>
      <w:pStyle w:val="Zpat"/>
    </w:pPr>
  </w:p>
  <w:p w14:paraId="4FD789F4" w14:textId="77777777" w:rsidR="002A3AE7" w:rsidRPr="002A3AE7" w:rsidRDefault="002A3AE7" w:rsidP="002A3AE7">
    <w:pPr>
      <w:pStyle w:val="Zpat"/>
      <w:pBdr>
        <w:top w:val="single" w:sz="4" w:space="1" w:color="auto"/>
      </w:pBdr>
      <w:rPr>
        <w:rFonts w:asciiTheme="majorHAnsi" w:hAnsiTheme="majorHAnsi" w:cstheme="majorHAnsi"/>
        <w:sz w:val="20"/>
        <w:szCs w:val="20"/>
      </w:rPr>
    </w:pPr>
    <w:r w:rsidRPr="002A3AE7">
      <w:rPr>
        <w:rFonts w:asciiTheme="majorHAnsi" w:hAnsiTheme="majorHAnsi" w:cstheme="majorHAnsi"/>
        <w:sz w:val="20"/>
        <w:szCs w:val="20"/>
      </w:rPr>
      <w:tab/>
      <w:t>Tel./Fax.: +420 257 960 075</w:t>
    </w:r>
    <w:r w:rsidRPr="002A3AE7">
      <w:rPr>
        <w:rFonts w:asciiTheme="majorHAnsi" w:hAnsiTheme="majorHAnsi" w:cstheme="majorHAnsi"/>
        <w:sz w:val="20"/>
        <w:szCs w:val="20"/>
      </w:rPr>
      <w:tab/>
    </w:r>
    <w:r w:rsidRPr="002A3AE7">
      <w:rPr>
        <w:rFonts w:asciiTheme="majorHAnsi" w:hAnsiTheme="majorHAnsi" w:cstheme="majorHAnsi"/>
        <w:sz w:val="20"/>
        <w:szCs w:val="20"/>
        <w:lang w:val="en-US"/>
      </w:rPr>
      <w:t>I</w:t>
    </w:r>
    <w:r w:rsidRPr="002A3AE7">
      <w:rPr>
        <w:rFonts w:asciiTheme="majorHAnsi" w:hAnsiTheme="majorHAnsi" w:cstheme="majorHAnsi"/>
        <w:sz w:val="20"/>
        <w:szCs w:val="20"/>
      </w:rPr>
      <w:t>Č: 00473227</w:t>
    </w:r>
  </w:p>
  <w:sdt>
    <w:sdtPr>
      <w:rPr>
        <w:rFonts w:asciiTheme="majorHAnsi" w:hAnsiTheme="majorHAnsi" w:cstheme="majorHAnsi"/>
        <w:sz w:val="20"/>
        <w:szCs w:val="20"/>
      </w:rPr>
      <w:id w:val="-2067558128"/>
      <w:docPartObj>
        <w:docPartGallery w:val="Page Numbers (Bottom of Page)"/>
        <w:docPartUnique/>
      </w:docPartObj>
    </w:sdtPr>
    <w:sdtEndPr/>
    <w:sdtContent>
      <w:p w14:paraId="1AD442E3" w14:textId="77777777" w:rsidR="002A3AE7" w:rsidRPr="002A3AE7" w:rsidRDefault="00663758" w:rsidP="00263466">
        <w:pPr>
          <w:pStyle w:val="Zpat"/>
          <w:rPr>
            <w:rFonts w:asciiTheme="majorHAnsi" w:hAnsiTheme="majorHAnsi" w:cstheme="majorHAnsi"/>
            <w:sz w:val="20"/>
            <w:szCs w:val="20"/>
          </w:rPr>
        </w:pPr>
        <w:r w:rsidRPr="002A3AE7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2A3AE7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2A3AE7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2A3AE7">
          <w:rPr>
            <w:rFonts w:asciiTheme="majorHAnsi" w:hAnsiTheme="majorHAnsi" w:cstheme="majorHAnsi"/>
            <w:sz w:val="20"/>
            <w:szCs w:val="20"/>
          </w:rPr>
          <w:t>2</w:t>
        </w:r>
        <w:r w:rsidRPr="002A3AE7">
          <w:rPr>
            <w:rFonts w:asciiTheme="majorHAnsi" w:hAnsiTheme="majorHAnsi" w:cstheme="majorHAnsi"/>
            <w:sz w:val="20"/>
            <w:szCs w:val="20"/>
          </w:rPr>
          <w:fldChar w:fldCharType="end"/>
        </w:r>
        <w:r w:rsidR="00263466" w:rsidRPr="002A3AE7">
          <w:rPr>
            <w:rFonts w:asciiTheme="majorHAnsi" w:hAnsiTheme="majorHAnsi" w:cstheme="majorHAnsi"/>
            <w:sz w:val="20"/>
            <w:szCs w:val="20"/>
          </w:rPr>
          <w:tab/>
        </w:r>
        <w:hyperlink r:id="rId1" w:history="1">
          <w:r w:rsidR="00263466" w:rsidRPr="002A3AE7">
            <w:rPr>
              <w:rStyle w:val="Hypertextovodkaz"/>
              <w:rFonts w:asciiTheme="majorHAnsi" w:hAnsiTheme="majorHAnsi" w:cstheme="majorHAnsi"/>
              <w:sz w:val="20"/>
              <w:szCs w:val="20"/>
            </w:rPr>
            <w:t>chynice</w:t>
          </w:r>
          <w:r w:rsidR="00263466" w:rsidRPr="002A3AE7">
            <w:rPr>
              <w:rStyle w:val="Hypertextovodkaz"/>
              <w:rFonts w:asciiTheme="majorHAnsi" w:hAnsiTheme="majorHAnsi" w:cstheme="majorHAnsi"/>
              <w:sz w:val="20"/>
              <w:szCs w:val="20"/>
              <w:lang w:val="en-US"/>
            </w:rPr>
            <w:t>@chynice.cz</w:t>
          </w:r>
        </w:hyperlink>
        <w:r w:rsidR="002A3AE7" w:rsidRPr="002A3AE7">
          <w:rPr>
            <w:rFonts w:asciiTheme="majorHAnsi" w:hAnsiTheme="majorHAnsi" w:cstheme="majorHAnsi"/>
            <w:sz w:val="20"/>
            <w:szCs w:val="20"/>
          </w:rPr>
          <w:tab/>
          <w:t>DIČ: CZ00473227</w:t>
        </w:r>
      </w:p>
      <w:p w14:paraId="5C16D1DC" w14:textId="77777777" w:rsidR="00663758" w:rsidRPr="002A3AE7" w:rsidRDefault="002A3AE7" w:rsidP="00263466">
        <w:pPr>
          <w:pStyle w:val="Zpat"/>
          <w:rPr>
            <w:rFonts w:asciiTheme="majorHAnsi" w:hAnsiTheme="majorHAnsi" w:cstheme="majorHAnsi"/>
            <w:sz w:val="20"/>
            <w:szCs w:val="20"/>
          </w:rPr>
        </w:pPr>
        <w:r w:rsidRPr="002A3AE7">
          <w:rPr>
            <w:rFonts w:asciiTheme="majorHAnsi" w:hAnsiTheme="majorHAnsi" w:cstheme="majorHAnsi"/>
            <w:sz w:val="20"/>
            <w:szCs w:val="20"/>
            <w:lang w:val="en-US"/>
          </w:rPr>
          <w:tab/>
        </w:r>
        <w:hyperlink r:id="rId2" w:history="1">
          <w:r w:rsidR="00663758" w:rsidRPr="002A3AE7">
            <w:rPr>
              <w:rStyle w:val="Hypertextovodkaz"/>
              <w:rFonts w:asciiTheme="majorHAnsi" w:hAnsiTheme="majorHAnsi" w:cstheme="majorHAnsi"/>
              <w:sz w:val="20"/>
              <w:szCs w:val="20"/>
              <w:lang w:val="en-US"/>
            </w:rPr>
            <w:t>www.chynice.cz</w:t>
          </w:r>
        </w:hyperlink>
        <w:r w:rsidRPr="002A3AE7">
          <w:rPr>
            <w:rFonts w:asciiTheme="majorHAnsi" w:hAnsiTheme="majorHAnsi" w:cstheme="majorHAnsi"/>
            <w:sz w:val="20"/>
            <w:szCs w:val="20"/>
            <w:lang w:val="en-US"/>
          </w:rPr>
          <w:tab/>
        </w:r>
        <w:r w:rsidRPr="002A3AE7">
          <w:rPr>
            <w:rFonts w:asciiTheme="majorHAnsi" w:hAnsiTheme="majorHAnsi" w:cstheme="majorHAnsi"/>
            <w:sz w:val="20"/>
            <w:szCs w:val="20"/>
          </w:rPr>
          <w:t>č.ú.: 35129111/ 0100</w:t>
        </w:r>
      </w:p>
    </w:sdtContent>
  </w:sdt>
  <w:p w14:paraId="727DC521" w14:textId="77777777" w:rsidR="00C77468" w:rsidRPr="00C77468" w:rsidRDefault="00C77468" w:rsidP="00263466">
    <w:pPr>
      <w:pStyle w:val="Zpat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3454" w14:textId="77777777" w:rsidR="001D0621" w:rsidRDefault="001D0621" w:rsidP="00A42A60">
      <w:r>
        <w:separator/>
      </w:r>
    </w:p>
  </w:footnote>
  <w:footnote w:type="continuationSeparator" w:id="0">
    <w:p w14:paraId="7DE885A9" w14:textId="77777777" w:rsidR="001D0621" w:rsidRDefault="001D0621" w:rsidP="00A4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E11BF" w:rsidRPr="00A42A60" w14:paraId="3DC82080" w14:textId="77777777" w:rsidTr="00A42A60">
      <w:tc>
        <w:tcPr>
          <w:tcW w:w="4531" w:type="dxa"/>
        </w:tcPr>
        <w:p w14:paraId="207F78EF" w14:textId="77777777" w:rsidR="006E11BF" w:rsidRPr="00A42A60" w:rsidRDefault="006E11BF" w:rsidP="00A42A60">
          <w:pPr>
            <w:pStyle w:val="Zhlav"/>
          </w:pPr>
          <w:r w:rsidRPr="00A42A6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BCCE84" wp14:editId="544B6D27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08965" cy="698500"/>
                <wp:effectExtent l="0" t="0" r="635" b="6350"/>
                <wp:wrapSquare wrapText="bothSides"/>
                <wp:docPr id="4" name="Obrázek 4" descr="Chynice-z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ynice-z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96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4F2FC8" w14:textId="77777777" w:rsidR="006E11BF" w:rsidRPr="00A42A60" w:rsidRDefault="006E11BF" w:rsidP="00A42A60">
          <w:pPr>
            <w:pStyle w:val="Zhlav"/>
          </w:pPr>
        </w:p>
      </w:tc>
      <w:tc>
        <w:tcPr>
          <w:tcW w:w="4531" w:type="dxa"/>
        </w:tcPr>
        <w:p w14:paraId="59E8E605" w14:textId="77777777" w:rsidR="006E11BF" w:rsidRPr="00A42A60" w:rsidRDefault="006E11BF" w:rsidP="00A42A60">
          <w:pPr>
            <w:pStyle w:val="Zhlav"/>
            <w:jc w:val="right"/>
            <w:rPr>
              <w:sz w:val="32"/>
            </w:rPr>
          </w:pPr>
          <w:r w:rsidRPr="00A42A60">
            <w:rPr>
              <w:sz w:val="32"/>
            </w:rPr>
            <w:t>Obec Chýnice</w:t>
          </w:r>
        </w:p>
        <w:p w14:paraId="56CD29E7" w14:textId="77777777" w:rsidR="006E11BF" w:rsidRPr="00A42A60" w:rsidRDefault="006E11BF" w:rsidP="00A42A60">
          <w:pPr>
            <w:pStyle w:val="Zhlav"/>
            <w:jc w:val="right"/>
            <w:rPr>
              <w:sz w:val="32"/>
            </w:rPr>
          </w:pPr>
          <w:r w:rsidRPr="00A42A60">
            <w:rPr>
              <w:sz w:val="32"/>
            </w:rPr>
            <w:t>Karlštejnská 22</w:t>
          </w:r>
        </w:p>
        <w:p w14:paraId="17CD65D3" w14:textId="77777777" w:rsidR="006E11BF" w:rsidRPr="00A42A60" w:rsidRDefault="006E11BF" w:rsidP="00A42A60">
          <w:pPr>
            <w:pStyle w:val="Zhlav"/>
            <w:jc w:val="right"/>
          </w:pPr>
          <w:r w:rsidRPr="00A42A60">
            <w:rPr>
              <w:sz w:val="32"/>
            </w:rPr>
            <w:t>252 17 Tachlovice</w:t>
          </w:r>
        </w:p>
      </w:tc>
    </w:tr>
  </w:tbl>
  <w:p w14:paraId="4193A7F7" w14:textId="77777777" w:rsidR="006E11BF" w:rsidRDefault="006E11BF" w:rsidP="00A42A60">
    <w:pPr>
      <w:pStyle w:val="Zhlav"/>
    </w:pPr>
  </w:p>
  <w:p w14:paraId="589F83EC" w14:textId="77777777" w:rsidR="006E11BF" w:rsidRDefault="006E11BF" w:rsidP="00A42A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72B3"/>
    <w:multiLevelType w:val="hybridMultilevel"/>
    <w:tmpl w:val="40B6F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0A6"/>
    <w:multiLevelType w:val="hybridMultilevel"/>
    <w:tmpl w:val="4E2EC814"/>
    <w:lvl w:ilvl="0" w:tplc="C016936C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5DB2"/>
    <w:multiLevelType w:val="hybridMultilevel"/>
    <w:tmpl w:val="5C9683E8"/>
    <w:lvl w:ilvl="0" w:tplc="830AAF1A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7F5C"/>
    <w:multiLevelType w:val="hybridMultilevel"/>
    <w:tmpl w:val="9FCA85E0"/>
    <w:lvl w:ilvl="0" w:tplc="830AAF1A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B3088"/>
    <w:multiLevelType w:val="hybridMultilevel"/>
    <w:tmpl w:val="2E306DD0"/>
    <w:lvl w:ilvl="0" w:tplc="1F6E2AF4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1563"/>
    <w:multiLevelType w:val="hybridMultilevel"/>
    <w:tmpl w:val="5C9680DA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26014"/>
    <w:multiLevelType w:val="hybridMultilevel"/>
    <w:tmpl w:val="7FC2CE32"/>
    <w:lvl w:ilvl="0" w:tplc="C44AD9C8">
      <w:start w:val="1"/>
      <w:numFmt w:val="decimal"/>
      <w:lvlText w:val="(%1)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1A15"/>
    <w:multiLevelType w:val="hybridMultilevel"/>
    <w:tmpl w:val="93EA2716"/>
    <w:lvl w:ilvl="0" w:tplc="C64E253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B37E8"/>
    <w:multiLevelType w:val="hybridMultilevel"/>
    <w:tmpl w:val="F8E28196"/>
    <w:lvl w:ilvl="0" w:tplc="0268B9DA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04185"/>
    <w:multiLevelType w:val="hybridMultilevel"/>
    <w:tmpl w:val="CC8A8750"/>
    <w:lvl w:ilvl="0" w:tplc="0405000F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930DC"/>
    <w:multiLevelType w:val="hybridMultilevel"/>
    <w:tmpl w:val="6A9EC200"/>
    <w:lvl w:ilvl="0" w:tplc="166C7614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43A35"/>
    <w:multiLevelType w:val="hybridMultilevel"/>
    <w:tmpl w:val="9A24FBCC"/>
    <w:lvl w:ilvl="0" w:tplc="C45EE8E0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3776A"/>
    <w:multiLevelType w:val="hybridMultilevel"/>
    <w:tmpl w:val="043CA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63FE2"/>
    <w:multiLevelType w:val="hybridMultilevel"/>
    <w:tmpl w:val="0CBCF128"/>
    <w:lvl w:ilvl="0" w:tplc="8C82D54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66C70"/>
    <w:multiLevelType w:val="hybridMultilevel"/>
    <w:tmpl w:val="8B7A46A2"/>
    <w:lvl w:ilvl="0" w:tplc="88744BB6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32C0B"/>
    <w:multiLevelType w:val="hybridMultilevel"/>
    <w:tmpl w:val="D77E9A6E"/>
    <w:lvl w:ilvl="0" w:tplc="16B809DE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7058"/>
    <w:multiLevelType w:val="hybridMultilevel"/>
    <w:tmpl w:val="F2E60EF6"/>
    <w:lvl w:ilvl="0" w:tplc="E73EE25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7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21"/>
    <w:rsid w:val="000052F2"/>
    <w:rsid w:val="00093ED4"/>
    <w:rsid w:val="000C2C2F"/>
    <w:rsid w:val="000D19FB"/>
    <w:rsid w:val="000D3422"/>
    <w:rsid w:val="00100E83"/>
    <w:rsid w:val="00120C7F"/>
    <w:rsid w:val="0012175B"/>
    <w:rsid w:val="001B05F8"/>
    <w:rsid w:val="001C17D7"/>
    <w:rsid w:val="001D0621"/>
    <w:rsid w:val="00235C62"/>
    <w:rsid w:val="00263466"/>
    <w:rsid w:val="002A3AE7"/>
    <w:rsid w:val="002C2BB3"/>
    <w:rsid w:val="00307EF5"/>
    <w:rsid w:val="00330958"/>
    <w:rsid w:val="003613CB"/>
    <w:rsid w:val="003E5175"/>
    <w:rsid w:val="003F0660"/>
    <w:rsid w:val="00434A04"/>
    <w:rsid w:val="00462E37"/>
    <w:rsid w:val="00473F2E"/>
    <w:rsid w:val="004E22AA"/>
    <w:rsid w:val="005467FE"/>
    <w:rsid w:val="00555946"/>
    <w:rsid w:val="00581269"/>
    <w:rsid w:val="005B58FC"/>
    <w:rsid w:val="005C414B"/>
    <w:rsid w:val="005C7B2E"/>
    <w:rsid w:val="006040ED"/>
    <w:rsid w:val="00663758"/>
    <w:rsid w:val="00670DC7"/>
    <w:rsid w:val="006D2348"/>
    <w:rsid w:val="006E11BF"/>
    <w:rsid w:val="00704B83"/>
    <w:rsid w:val="007B2EBE"/>
    <w:rsid w:val="008C50C2"/>
    <w:rsid w:val="00900479"/>
    <w:rsid w:val="00907B10"/>
    <w:rsid w:val="009806AB"/>
    <w:rsid w:val="00987554"/>
    <w:rsid w:val="0099676F"/>
    <w:rsid w:val="009E21DA"/>
    <w:rsid w:val="00A42A60"/>
    <w:rsid w:val="00AC03C3"/>
    <w:rsid w:val="00B060B9"/>
    <w:rsid w:val="00BB439D"/>
    <w:rsid w:val="00C24AD5"/>
    <w:rsid w:val="00C77468"/>
    <w:rsid w:val="00CE06D0"/>
    <w:rsid w:val="00CE5E58"/>
    <w:rsid w:val="00D45895"/>
    <w:rsid w:val="00D616BE"/>
    <w:rsid w:val="00E20414"/>
    <w:rsid w:val="00E246D8"/>
    <w:rsid w:val="00E704E7"/>
    <w:rsid w:val="00EF035A"/>
    <w:rsid w:val="00F01294"/>
    <w:rsid w:val="00F05319"/>
    <w:rsid w:val="00F219F7"/>
    <w:rsid w:val="00F70F4E"/>
    <w:rsid w:val="00FC2D04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ECBDC9"/>
  <w15:chartTrackingRefBased/>
  <w15:docId w15:val="{D19F2452-8E8B-42C0-94CF-52E5FBD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A60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2A60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2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4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2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A60"/>
  </w:style>
  <w:style w:type="paragraph" w:styleId="Zpat">
    <w:name w:val="footer"/>
    <w:basedOn w:val="Normln"/>
    <w:link w:val="ZpatChar"/>
    <w:uiPriority w:val="99"/>
    <w:unhideWhenUsed/>
    <w:rsid w:val="00A42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A60"/>
  </w:style>
  <w:style w:type="table" w:styleId="Mkatabulky">
    <w:name w:val="Table Grid"/>
    <w:basedOn w:val="Normlntabulka"/>
    <w:uiPriority w:val="39"/>
    <w:rsid w:val="00A4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42A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A42A60"/>
    <w:rPr>
      <w:rFonts w:eastAsiaTheme="majorEastAsia" w:cstheme="minorHAns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2A60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04B83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62E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95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204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ynice.cz" TargetMode="External"/><Relationship Id="rId1" Type="http://schemas.openxmlformats.org/officeDocument/2006/relationships/hyperlink" Target="mailto:chynice@chy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__TEMPLATES\VZOR_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VZOR_Obec.dotx</Template>
  <TotalTime>80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Moravec</dc:creator>
  <cp:keywords/>
  <dc:description/>
  <cp:lastModifiedBy>Ondřej Moravec</cp:lastModifiedBy>
  <cp:revision>6</cp:revision>
  <cp:lastPrinted>2018-11-07T16:59:00Z</cp:lastPrinted>
  <dcterms:created xsi:type="dcterms:W3CDTF">2021-06-23T13:11:00Z</dcterms:created>
  <dcterms:modified xsi:type="dcterms:W3CDTF">2021-09-28T22:45:00Z</dcterms:modified>
</cp:coreProperties>
</file>