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3"/>
        <w:rPr>
          <w:rFonts w:ascii="Calibri" w:hAnsi="Calibri"/>
          <w:sz w:val="24"/>
          <w:szCs w:val="24"/>
        </w:rPr>
      </w:pPr>
      <w:r>
        <w:rPr/>
        <w:drawing>
          <wp:inline distT="0" distB="0" distL="0" distR="0">
            <wp:extent cx="911860" cy="103060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18" t="-16" r="-18" b="-16"/>
                    <a:stretch>
                      <a:fillRect/>
                    </a:stretch>
                  </pic:blipFill>
                  <pic:spPr bwMode="auto">
                    <a:xfrm>
                      <a:off x="0" y="0"/>
                      <a:ext cx="911860" cy="1030605"/>
                    </a:xfrm>
                    <a:prstGeom prst="rect">
                      <a:avLst/>
                    </a:prstGeom>
                  </pic:spPr>
                </pic:pic>
              </a:graphicData>
            </a:graphic>
          </wp:inline>
        </w:drawing>
      </w:r>
    </w:p>
    <w:p>
      <w:pPr>
        <w:pStyle w:val="Nadpis3"/>
        <w:spacing w:before="120" w:after="240"/>
        <w:rPr>
          <w:rFonts w:ascii="Calibri" w:hAnsi="Calibri"/>
          <w:sz w:val="24"/>
          <w:szCs w:val="24"/>
        </w:rPr>
      </w:pPr>
      <w:r>
        <w:rPr>
          <w:rFonts w:cs="Arial" w:ascii="Calibri" w:hAnsi="Calibri"/>
          <w:color w:val="000000"/>
          <w:sz w:val="24"/>
          <w:szCs w:val="24"/>
        </w:rPr>
        <w:t>MĚSTO HRADEC NAD MORAVICÍ</w:t>
      </w:r>
    </w:p>
    <w:p>
      <w:pPr>
        <w:pStyle w:val="Normal"/>
        <w:jc w:val="center"/>
        <w:rPr>
          <w:rFonts w:ascii="Calibri" w:hAnsi="Calibri"/>
          <w:b/>
          <w:bCs/>
        </w:rPr>
      </w:pPr>
      <w:r>
        <w:rPr>
          <w:rFonts w:ascii="Calibri" w:hAnsi="Calibri"/>
          <w:b/>
          <w:bCs/>
        </w:rPr>
        <w:t>Zastupitelstvo města Hradec nad Moravicí</w:t>
      </w:r>
    </w:p>
    <w:p>
      <w:pPr>
        <w:pStyle w:val="Normal"/>
        <w:jc w:val="center"/>
        <w:rPr>
          <w:rFonts w:ascii="Calibri" w:hAnsi="Calibri"/>
          <w:b/>
          <w:bCs/>
        </w:rPr>
      </w:pPr>
      <w:r>
        <w:rPr>
          <w:rFonts w:ascii="Calibri" w:hAnsi="Calibri"/>
          <w:b/>
          <w:bCs/>
        </w:rPr>
      </w:r>
    </w:p>
    <w:p>
      <w:pPr>
        <w:pStyle w:val="Normal"/>
        <w:jc w:val="center"/>
        <w:rPr>
          <w:rFonts w:ascii="Calibri" w:hAnsi="Calibri"/>
        </w:rPr>
      </w:pPr>
      <w:r>
        <w:rPr>
          <w:rFonts w:cs="Arial" w:ascii="Calibri" w:hAnsi="Calibri"/>
          <w:b/>
          <w:color w:val="000000"/>
        </w:rPr>
        <w:t xml:space="preserve">Obecně závazná vyhláška města Hradec nad Moravicí </w:t>
      </w:r>
    </w:p>
    <w:p>
      <w:pPr>
        <w:pStyle w:val="Normal"/>
        <w:jc w:val="center"/>
        <w:rPr>
          <w:rFonts w:ascii="Calibri" w:hAnsi="Calibri"/>
        </w:rPr>
      </w:pPr>
      <w:r>
        <w:rPr>
          <w:rFonts w:ascii="Calibri" w:hAnsi="Calibri"/>
          <w:b/>
          <w:bCs/>
          <w:color w:val="000000"/>
        </w:rPr>
        <w:t>o nočním klidu</w:t>
      </w:r>
    </w:p>
    <w:p>
      <w:pPr>
        <w:pStyle w:val="Normal"/>
        <w:jc w:val="both"/>
        <w:rPr>
          <w:rFonts w:ascii="Calibri" w:hAnsi="Calibri"/>
        </w:rPr>
      </w:pPr>
      <w:r>
        <w:rPr>
          <w:rFonts w:ascii="Calibri" w:hAnsi="Calibri"/>
        </w:rPr>
      </w:r>
    </w:p>
    <w:p>
      <w:pPr>
        <w:pStyle w:val="Normal"/>
        <w:spacing w:before="0" w:after="170"/>
        <w:jc w:val="both"/>
        <w:rPr>
          <w:rFonts w:ascii="Calibri" w:hAnsi="Calibri"/>
        </w:rPr>
      </w:pPr>
      <w:r>
        <w:rPr>
          <w:rFonts w:cs="Arial" w:ascii="Calibri" w:hAnsi="Calibri"/>
          <w:color w:val="000000"/>
        </w:rPr>
        <w:t xml:space="preserve">Zastupitelstvo města Hradec nad Moravicí se na svém zasedání dne 22.04.2024 usnesením </w:t>
        <w:br/>
      </w:r>
      <w:r>
        <w:rPr>
          <w:rFonts w:eastAsia="NSimSun" w:cs="Arial" w:ascii="Calibri" w:hAnsi="Calibri"/>
          <w:color w:val="000000"/>
          <w:kern w:val="2"/>
          <w:sz w:val="24"/>
          <w:szCs w:val="24"/>
          <w:lang w:val="cs-CZ" w:eastAsia="zh-CN" w:bidi="hi-IN"/>
        </w:rPr>
        <w:t xml:space="preserve">č. 2.12.2024/ZM </w:t>
      </w:r>
      <w:r>
        <w:rPr>
          <w:rFonts w:cs="Arial" w:ascii="Calibri" w:hAnsi="Calibri"/>
          <w:color w:val="000000"/>
        </w:rPr>
        <w:t>usneslo vydat na základě ustanovení § 10 písm. d) a ustanovení § 84 odst. 2</w:t>
        <w:br/>
        <w:t>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jc w:val="center"/>
        <w:rPr>
          <w:rFonts w:ascii="Calibri" w:hAnsi="Calibri"/>
        </w:rPr>
      </w:pPr>
      <w:r>
        <w:rPr>
          <w:rFonts w:cs="Arial" w:ascii="Calibri" w:hAnsi="Calibri"/>
          <w:b/>
          <w:color w:val="000000"/>
        </w:rPr>
        <w:t>Článek 1</w:t>
      </w:r>
    </w:p>
    <w:p>
      <w:pPr>
        <w:pStyle w:val="Normal"/>
        <w:jc w:val="center"/>
        <w:rPr>
          <w:rFonts w:ascii="Calibri" w:hAnsi="Calibri"/>
        </w:rPr>
      </w:pPr>
      <w:r>
        <w:rPr>
          <w:rFonts w:cs="Arial" w:ascii="Calibri" w:hAnsi="Calibri"/>
          <w:b/>
          <w:color w:val="000000"/>
        </w:rPr>
        <w:t xml:space="preserve">Předmět </w:t>
      </w:r>
    </w:p>
    <w:p>
      <w:pPr>
        <w:pStyle w:val="Normal"/>
        <w:jc w:val="both"/>
        <w:rPr>
          <w:rFonts w:ascii="Calibri" w:hAnsi="Calibri" w:cs="Arial"/>
          <w:b/>
        </w:rPr>
      </w:pPr>
      <w:r>
        <w:rPr>
          <w:rFonts w:cs="Arial" w:ascii="Calibri" w:hAnsi="Calibri"/>
          <w:b/>
        </w:rPr>
      </w:r>
    </w:p>
    <w:p>
      <w:pPr>
        <w:pStyle w:val="Normal"/>
        <w:spacing w:before="0" w:after="120"/>
        <w:jc w:val="both"/>
        <w:rPr>
          <w:rFonts w:ascii="Calibri" w:hAnsi="Calibri"/>
        </w:rPr>
      </w:pPr>
      <w:r>
        <w:rPr>
          <w:rFonts w:cs="Arial" w:ascii="Calibri" w:hAnsi="Calibri"/>
          <w:color w:val="000000"/>
        </w:rPr>
        <w:t xml:space="preserve">Předmětem této obecně závazné vyhlášky je stanovení výjimečných případů, při nichž je doba nočního klidu vymezena dobou kratší nebo při nichž nemusí být doba nočního klidu dodržována. </w:t>
      </w:r>
    </w:p>
    <w:p>
      <w:pPr>
        <w:pStyle w:val="Normal"/>
        <w:jc w:val="center"/>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2</w:t>
      </w:r>
    </w:p>
    <w:p>
      <w:pPr>
        <w:pStyle w:val="Normal"/>
        <w:jc w:val="center"/>
        <w:rPr>
          <w:rFonts w:ascii="Calibri" w:hAnsi="Calibri"/>
        </w:rPr>
      </w:pPr>
      <w:r>
        <w:rPr>
          <w:rFonts w:cs="Arial" w:ascii="Calibri" w:hAnsi="Calibri"/>
          <w:b/>
          <w:color w:val="000000"/>
        </w:rPr>
        <w:t>Doba nočního klidu</w:t>
      </w:r>
    </w:p>
    <w:p>
      <w:pPr>
        <w:pStyle w:val="Normal"/>
        <w:jc w:val="both"/>
        <w:rPr>
          <w:rFonts w:ascii="Calibri" w:hAnsi="Calibri" w:cs="Arial"/>
          <w:b/>
        </w:rPr>
      </w:pPr>
      <w:r>
        <w:rPr>
          <w:rFonts w:cs="Arial" w:ascii="Calibri" w:hAnsi="Calibri"/>
          <w:b/>
        </w:rPr>
      </w:r>
    </w:p>
    <w:p>
      <w:pPr>
        <w:pStyle w:val="Normal"/>
        <w:spacing w:before="0" w:after="120"/>
        <w:jc w:val="both"/>
        <w:rPr>
          <w:rFonts w:ascii="Calibri" w:hAnsi="Calibri"/>
          <w:sz w:val="24"/>
          <w:szCs w:val="24"/>
        </w:rPr>
      </w:pPr>
      <w:r>
        <w:rPr>
          <w:rFonts w:cs="Arial" w:ascii="Calibri" w:hAnsi="Calibri"/>
          <w:sz w:val="24"/>
          <w:szCs w:val="24"/>
        </w:rPr>
        <w:t>Dobou nočního klidu se rozumí doba od dvacáté druhé do šesté hodiny.</w:t>
      </w:r>
      <w:r>
        <w:rPr>
          <w:rStyle w:val="Ukotvenpoznmkypodarou"/>
          <w:rFonts w:cs="Arial" w:ascii="Calibri" w:hAnsi="Calibri"/>
          <w:sz w:val="24"/>
          <w:szCs w:val="24"/>
        </w:rPr>
        <w:footnoteReference w:id="2"/>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rPr>
      </w:pPr>
      <w:r>
        <w:rPr>
          <w:rFonts w:cs="Arial" w:ascii="Calibri" w:hAnsi="Calibri"/>
          <w:b/>
          <w:color w:val="000000"/>
        </w:rPr>
        <w:t>Článek 3</w:t>
      </w:r>
    </w:p>
    <w:p>
      <w:pPr>
        <w:pStyle w:val="Normal"/>
        <w:jc w:val="center"/>
        <w:rPr>
          <w:rFonts w:ascii="Calibri" w:hAnsi="Calibri"/>
        </w:rPr>
      </w:pPr>
      <w:r>
        <w:rPr>
          <w:rFonts w:cs="Arial" w:ascii="Calibri" w:hAnsi="Calibri"/>
          <w:b/>
          <w:color w:val="000000"/>
        </w:rPr>
        <w:t xml:space="preserve">Stanovení výjimečných případů, při nichž je doba nočního klidu vymezena dobou kratší </w:t>
      </w:r>
    </w:p>
    <w:p>
      <w:pPr>
        <w:pStyle w:val="Normal"/>
        <w:jc w:val="center"/>
        <w:rPr>
          <w:rFonts w:ascii="Calibri" w:hAnsi="Calibri"/>
        </w:rPr>
      </w:pPr>
      <w:r>
        <w:rPr>
          <w:rFonts w:cs="Arial" w:ascii="Calibri" w:hAnsi="Calibri"/>
          <w:b/>
          <w:color w:val="000000"/>
        </w:rPr>
        <w:t>nebo při nichž nemusí být doba nočního klidu dodržována</w:t>
      </w:r>
    </w:p>
    <w:p>
      <w:pPr>
        <w:pStyle w:val="Normal"/>
        <w:jc w:val="both"/>
        <w:rPr>
          <w:rFonts w:ascii="Calibri" w:hAnsi="Calibri" w:cs="Arial"/>
        </w:rPr>
      </w:pPr>
      <w:r>
        <w:rPr>
          <w:rFonts w:cs="Arial" w:ascii="Calibri" w:hAnsi="Calibri"/>
        </w:rPr>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Doba nočního klidu nemusí být dodržována v noci z 31. prosince na 1. ledna (jedna noc) z důvodu konání oslav příchodu nového roku.</w:t>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 xml:space="preserve">Doba nočního klidu se vymezuje od 23:00 do 06:00 hodin, </w:t>
      </w:r>
      <w:bookmarkStart w:id="0" w:name="__DdeLink__152_2907734347_kopie_1"/>
      <w:r>
        <w:rPr>
          <w:rFonts w:cs="Arial" w:ascii="Calibri" w:hAnsi="Calibri"/>
          <w:color w:val="000000"/>
        </w:rPr>
        <w:t>a to</w:t>
      </w:r>
      <w:bookmarkEnd w:id="0"/>
      <w:r>
        <w:rPr>
          <w:rFonts w:cs="Arial" w:ascii="Calibri" w:hAnsi="Calibri"/>
          <w:color w:val="000000"/>
        </w:rPr>
        <w:t xml:space="preserve"> </w:t>
      </w:r>
      <w:r>
        <w:rPr>
          <w:rFonts w:ascii="Calibri" w:hAnsi="Calibri"/>
        </w:rPr>
        <w:t>v</w:t>
      </w:r>
      <w:r>
        <w:rPr>
          <w:rFonts w:cs="Arial" w:ascii="Calibri" w:hAnsi="Calibri"/>
          <w:color w:val="000000"/>
        </w:rPr>
        <w:t> noci ze dne konání výjimečné akce „Kultura pod hvězdami“ na den následující konané první víkend v noci z pátku na sobotu a v noci ze soboty na neděli v měsíci srpnu (dvě noci).</w:t>
      </w:r>
    </w:p>
    <w:p>
      <w:pPr>
        <w:pStyle w:val="Normal"/>
        <w:tabs>
          <w:tab w:val="clear" w:pos="720"/>
          <w:tab w:val="left" w:pos="284" w:leader="none"/>
        </w:tabs>
        <w:spacing w:before="0" w:after="170"/>
        <w:jc w:val="both"/>
        <w:rPr>
          <w:rFonts w:ascii="Calibri" w:hAnsi="Calibri"/>
        </w:rPr>
      </w:pPr>
      <w:r>
        <w:rPr>
          <w:rFonts w:ascii="Calibri" w:hAnsi="Calibri"/>
        </w:rPr>
      </w:r>
    </w:p>
    <w:p>
      <w:pPr>
        <w:pStyle w:val="Normal"/>
        <w:tabs>
          <w:tab w:val="clear" w:pos="720"/>
          <w:tab w:val="left" w:pos="284" w:leader="none"/>
        </w:tabs>
        <w:spacing w:before="0" w:after="170"/>
        <w:jc w:val="both"/>
        <w:rPr>
          <w:rFonts w:ascii="Calibri" w:hAnsi="Calibri"/>
        </w:rPr>
      </w:pPr>
      <w:r>
        <w:rPr>
          <w:rFonts w:ascii="Calibri" w:hAnsi="Calibri"/>
        </w:rPr>
      </w:r>
    </w:p>
    <w:p>
      <w:pPr>
        <w:pStyle w:val="Normal"/>
        <w:numPr>
          <w:ilvl w:val="0"/>
          <w:numId w:val="3"/>
        </w:numPr>
        <w:tabs>
          <w:tab w:val="clear" w:pos="720"/>
          <w:tab w:val="left" w:pos="284" w:leader="none"/>
        </w:tabs>
        <w:spacing w:before="0" w:after="120"/>
        <w:jc w:val="both"/>
        <w:rPr>
          <w:rFonts w:ascii="Calibri" w:hAnsi="Calibri"/>
        </w:rPr>
      </w:pPr>
      <w:r>
        <w:rPr>
          <w:rFonts w:cs="Arial" w:ascii="Calibri" w:hAnsi="Calibri"/>
          <w:color w:val="000000"/>
        </w:rPr>
        <w:t xml:space="preserve">Doba nočního klidu se vymezuje od 24:00 do 06:00 hodin, </w:t>
      </w:r>
      <w:bookmarkStart w:id="1" w:name="__DdeLink__152_2907734347"/>
      <w:r>
        <w:rPr>
          <w:rFonts w:cs="Arial" w:ascii="Calibri" w:hAnsi="Calibri"/>
          <w:color w:val="000000"/>
        </w:rPr>
        <w:t>a to v následujících případech:</w:t>
      </w:r>
      <w:bookmarkEnd w:id="1"/>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 akce „Pálení čarodějnic“ na den následující konané jednu noc v měsíci dubnu,</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 akce „Hudební podvečer“ na den následující konané jednu noc v měsíci červnu,</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 akce „Pivní slavnosti“ na den následující konané jednu noc v měsíci srpnu,</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 akce „Hradozámecká noc“ na den následující konané jednu noc v měsíci srpnu,</w:t>
      </w:r>
    </w:p>
    <w:p>
      <w:pPr>
        <w:pStyle w:val="ListParagraph"/>
        <w:numPr>
          <w:ilvl w:val="0"/>
          <w:numId w:val="2"/>
        </w:numPr>
        <w:tabs>
          <w:tab w:val="clear" w:pos="720"/>
          <w:tab w:val="left" w:pos="284" w:leader="none"/>
        </w:tabs>
        <w:spacing w:before="0" w:after="120"/>
        <w:contextualSpacing/>
        <w:jc w:val="both"/>
        <w:rPr>
          <w:rFonts w:ascii="Calibri" w:hAnsi="Calibri"/>
        </w:rPr>
      </w:pPr>
      <w:r>
        <w:rPr>
          <w:rFonts w:cs="Arial" w:ascii="Calibri" w:hAnsi="Calibri"/>
          <w:color w:val="000000"/>
        </w:rPr>
        <w:t>v noci ze dne konání tradičního hudebního festivalu „To je jedno“ na den následující konaného jednu noc v měsíci září,</w:t>
      </w:r>
    </w:p>
    <w:p>
      <w:pPr>
        <w:pStyle w:val="ListParagraph"/>
        <w:numPr>
          <w:ilvl w:val="0"/>
          <w:numId w:val="2"/>
        </w:numPr>
        <w:tabs>
          <w:tab w:val="clear" w:pos="720"/>
          <w:tab w:val="left" w:pos="284" w:leader="none"/>
        </w:tabs>
        <w:spacing w:before="0" w:after="170"/>
        <w:contextualSpacing w:val="false"/>
        <w:jc w:val="both"/>
        <w:rPr>
          <w:rFonts w:ascii="Calibri" w:hAnsi="Calibri"/>
        </w:rPr>
      </w:pPr>
      <w:r>
        <w:rPr>
          <w:rFonts w:cs="Arial" w:ascii="Calibri" w:hAnsi="Calibri"/>
          <w:color w:val="000000"/>
        </w:rPr>
        <w:t>v noci ze dne konání tradiční akce „Vinobraní“ na den následující konané jednu noc v měsíci září.</w:t>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Doba nočního klidu se vymezuje od 01:00 do 06:00 hodin, a to v noci ze dne konání akce „Oslavy osvobození obce Jakubčovice“ na den následující konané jednu noc na přelomu měsíců duben a květen.</w:t>
      </w:r>
    </w:p>
    <w:p>
      <w:pPr>
        <w:pStyle w:val="Normal"/>
        <w:numPr>
          <w:ilvl w:val="0"/>
          <w:numId w:val="3"/>
        </w:numPr>
        <w:tabs>
          <w:tab w:val="clear" w:pos="720"/>
          <w:tab w:val="left" w:pos="284" w:leader="none"/>
        </w:tabs>
        <w:spacing w:before="0" w:after="170"/>
        <w:jc w:val="both"/>
        <w:rPr>
          <w:rFonts w:ascii="Calibri" w:hAnsi="Calibri"/>
        </w:rPr>
      </w:pPr>
      <w:r>
        <w:rPr>
          <w:rFonts w:cs="Arial" w:ascii="Calibri" w:hAnsi="Calibri"/>
          <w:color w:val="000000"/>
        </w:rPr>
        <w:t>Doba nočního klidu se vymezuje od 02:00 do 06:00 hodin, a to v následujících případech:</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„Pálení čarodějnic ve Filipovicích“ na den následující konané jednu noc v měsíci dubnu,</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„Bohučovská Open Air“ na den následující konané jednu noc v měsíci květnu,</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tradiční akce „Hradecká pouť“ na den následující konané jednu noc v měsíci červnu,</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„Bohučovská Open Air“ na den následující konané jednu noc v měsíci červnu,</w:t>
      </w:r>
    </w:p>
    <w:p>
      <w:pPr>
        <w:pStyle w:val="ListParagraph"/>
        <w:widowControl/>
        <w:numPr>
          <w:ilvl w:val="0"/>
          <w:numId w:val="4"/>
        </w:numPr>
        <w:suppressAutoHyphens w:val="true"/>
        <w:bidi w:val="0"/>
        <w:spacing w:before="0" w:after="120"/>
        <w:ind w:left="1083" w:right="0" w:hanging="397"/>
        <w:contextualSpacing/>
        <w:jc w:val="both"/>
        <w:rPr/>
      </w:pPr>
      <w:r>
        <w:rPr>
          <w:rFonts w:cs="Calibri" w:ascii="Calibri" w:hAnsi="Calibri" w:asciiTheme="minorHAnsi" w:cstheme="minorHAnsi" w:hAnsiTheme="minorHAnsi"/>
          <w:color w:val="000000"/>
        </w:rPr>
        <w:t>v noci ze dne konání akce „Benátská noc v Bohučovicích“ na den následující konané jednu noc v měsíci červnu,</w:t>
      </w:r>
      <w:r>
        <w:rPr>
          <w:rFonts w:cs="Arial" w:ascii="Calibri" w:hAnsi="Calibri"/>
          <w:color w:val="000000"/>
        </w:rPr>
        <w:t xml:space="preserve">  </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„Bohučovská Open Air“ na den následující konané jednu noc v měsíci červenci,</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„Benátská noc ve Filipovicích“ na den následující konané jednu noc v měsíci červenci,</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„Benátská noc v Žimrovicích“ na den následující konané jednu noc v měsíci červenci,</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v noci ze dne konání akce „Dožínková zábava ve Filipovicích“ na den následující konané jednu noc v měsíci srpnu,</w:t>
      </w:r>
    </w:p>
    <w:p>
      <w:pPr>
        <w:pStyle w:val="ListParagraph"/>
        <w:widowControl/>
        <w:numPr>
          <w:ilvl w:val="0"/>
          <w:numId w:val="4"/>
        </w:numPr>
        <w:suppressAutoHyphens w:val="true"/>
        <w:bidi w:val="0"/>
        <w:spacing w:before="0" w:after="120"/>
        <w:ind w:left="1083" w:right="0" w:hanging="397"/>
        <w:contextualSpacing/>
        <w:jc w:val="both"/>
        <w:rPr/>
      </w:pPr>
      <w:r>
        <w:rPr>
          <w:rFonts w:cs="Arial" w:ascii="Calibri" w:hAnsi="Calibri"/>
          <w:color w:val="000000"/>
        </w:rPr>
        <w:t xml:space="preserve">v noci ze dne konání akce „Ukončení léta ve Filipovicích“ na den následující konané jednu noc v měsíci září, </w:t>
      </w:r>
    </w:p>
    <w:p>
      <w:pPr>
        <w:pStyle w:val="ListParagraph"/>
        <w:widowControl/>
        <w:numPr>
          <w:ilvl w:val="0"/>
          <w:numId w:val="4"/>
        </w:numPr>
        <w:suppressAutoHyphens w:val="true"/>
        <w:bidi w:val="0"/>
        <w:spacing w:before="0" w:after="119"/>
        <w:ind w:left="1083" w:right="0" w:hanging="397"/>
        <w:contextualSpacing w:val="false"/>
        <w:jc w:val="both"/>
        <w:rPr/>
      </w:pPr>
      <w:r>
        <w:rPr>
          <w:rFonts w:cs="Arial" w:ascii="Calibri" w:hAnsi="Calibri"/>
          <w:color w:val="000000"/>
        </w:rPr>
        <w:t>v noci ze dne konání akce „Benátská noc v Bohučovicích“ na den následující konané jednu noc v měsíci září.</w:t>
      </w:r>
      <w:r>
        <w:rPr>
          <w:rFonts w:cs="Calibri" w:ascii="Calibri" w:hAnsi="Calibri" w:asciiTheme="minorHAnsi" w:cstheme="minorHAnsi" w:hAnsiTheme="minorHAnsi"/>
          <w:color w:val="000000"/>
        </w:rPr>
        <w:t xml:space="preserve"> </w:t>
      </w:r>
      <w:r>
        <w:rPr>
          <w:rFonts w:cs="Arial" w:ascii="Calibri" w:hAnsi="Calibri"/>
          <w:color w:val="000000"/>
        </w:rPr>
        <w:t xml:space="preserve">         </w:t>
      </w:r>
    </w:p>
    <w:p>
      <w:pPr>
        <w:pStyle w:val="Normal"/>
        <w:widowControl/>
        <w:numPr>
          <w:ilvl w:val="0"/>
          <w:numId w:val="3"/>
        </w:numPr>
        <w:tabs>
          <w:tab w:val="clear" w:pos="720"/>
          <w:tab w:val="left" w:pos="284" w:leader="none"/>
        </w:tabs>
        <w:suppressAutoHyphens w:val="true"/>
        <w:bidi w:val="0"/>
        <w:spacing w:before="0" w:after="120"/>
        <w:ind w:left="737" w:right="0" w:hanging="340"/>
        <w:jc w:val="both"/>
        <w:rPr/>
      </w:pPr>
      <w:r>
        <w:rPr>
          <w:rFonts w:cs="Arial" w:ascii="Calibri" w:hAnsi="Calibri"/>
          <w:color w:val="000000"/>
        </w:rPr>
        <w:t>Doba nočního klidu se vymezuje od 03:00 do 06:00 hodin, a to v následujících případech:</w:t>
      </w:r>
    </w:p>
    <w:p>
      <w:pPr>
        <w:pStyle w:val="Normal"/>
        <w:widowControl/>
        <w:tabs>
          <w:tab w:val="clear" w:pos="720"/>
          <w:tab w:val="left" w:pos="284" w:leader="none"/>
          <w:tab w:val="left" w:pos="1116" w:leader="none"/>
        </w:tabs>
        <w:suppressAutoHyphens w:val="true"/>
        <w:bidi w:val="0"/>
        <w:spacing w:before="0" w:after="0"/>
        <w:ind w:left="737" w:right="0" w:hanging="340"/>
        <w:jc w:val="both"/>
        <w:rPr/>
      </w:pPr>
      <w:r>
        <w:rPr>
          <w:rFonts w:cs="Arial" w:ascii="Calibri" w:hAnsi="Calibri"/>
          <w:color w:val="000000"/>
        </w:rPr>
        <w:tab/>
        <w:t>a)</w:t>
        <w:tab/>
        <w:t xml:space="preserve">v noci ze dne konání akce „Benátská noc - oslavy výročí založení SDH Žimrovice“ na den   </w:t>
        <w:tab/>
        <w:t>následující konané jednu noc v měsíci červnu,</w:t>
      </w:r>
    </w:p>
    <w:p>
      <w:pPr>
        <w:pStyle w:val="Normal"/>
        <w:widowControl/>
        <w:tabs>
          <w:tab w:val="clear" w:pos="720"/>
          <w:tab w:val="left" w:pos="284" w:leader="none"/>
          <w:tab w:val="left" w:pos="1116" w:leader="none"/>
        </w:tabs>
        <w:suppressAutoHyphens w:val="true"/>
        <w:bidi w:val="0"/>
        <w:spacing w:before="0" w:after="0"/>
        <w:ind w:left="737" w:right="0" w:hanging="340"/>
        <w:jc w:val="both"/>
        <w:rPr/>
      </w:pPr>
      <w:r>
        <w:rPr>
          <w:rFonts w:cs="Arial" w:ascii="Calibri" w:hAnsi="Calibri"/>
          <w:color w:val="000000"/>
        </w:rPr>
        <w:tab/>
        <w:t>b)</w:t>
        <w:tab/>
        <w:t xml:space="preserve">v noci ze dne konání akce „Benátská noc s letním kinem v Jakubčovicích“ na den </w:t>
        <w:tab/>
        <w:t>následující konané jednu noc v měsíci červenci,</w:t>
      </w:r>
    </w:p>
    <w:p>
      <w:pPr>
        <w:pStyle w:val="Normal"/>
        <w:widowControl/>
        <w:tabs>
          <w:tab w:val="clear" w:pos="720"/>
          <w:tab w:val="left" w:pos="284" w:leader="none"/>
          <w:tab w:val="left" w:pos="1116" w:leader="none"/>
        </w:tabs>
        <w:suppressAutoHyphens w:val="true"/>
        <w:bidi w:val="0"/>
        <w:spacing w:before="0" w:after="0"/>
        <w:ind w:left="737" w:right="0" w:hanging="340"/>
        <w:jc w:val="both"/>
        <w:rPr/>
      </w:pPr>
      <w:r>
        <w:rPr>
          <w:rFonts w:cs="Arial" w:ascii="Calibri" w:hAnsi="Calibri"/>
          <w:color w:val="000000"/>
        </w:rPr>
        <w:tab/>
        <w:t xml:space="preserve">c)  </w:t>
      </w:r>
      <w:r>
        <w:rPr>
          <w:rFonts w:cs="Calibri" w:ascii="Calibri" w:hAnsi="Calibri" w:asciiTheme="minorHAnsi" w:cstheme="minorHAnsi" w:hAnsiTheme="minorHAnsi"/>
          <w:color w:val="000000"/>
        </w:rPr>
        <w:t xml:space="preserve">v noci ze dne konání akce „Benátská noc s letním kinem v Jakubčovicích“ na den </w:t>
        <w:tab/>
        <w:t>následující konané jednu noc v měsíci srpnu,</w:t>
      </w:r>
    </w:p>
    <w:p>
      <w:pPr>
        <w:pStyle w:val="ListParagraph"/>
        <w:widowControl/>
        <w:numPr>
          <w:ilvl w:val="0"/>
          <w:numId w:val="0"/>
        </w:numPr>
        <w:tabs>
          <w:tab w:val="clear" w:pos="720"/>
          <w:tab w:val="left" w:pos="284" w:leader="none"/>
          <w:tab w:val="left" w:pos="732" w:leader="none"/>
          <w:tab w:val="left" w:pos="1080" w:leader="none"/>
        </w:tabs>
        <w:suppressAutoHyphens w:val="true"/>
        <w:bidi w:val="0"/>
        <w:spacing w:before="0" w:after="120"/>
        <w:ind w:left="737" w:right="0" w:hanging="0"/>
        <w:contextualSpacing/>
        <w:jc w:val="both"/>
        <w:rPr/>
      </w:pPr>
      <w:r>
        <w:rPr>
          <w:rFonts w:cs="Calibri" w:ascii="Calibri" w:hAnsi="Calibri" w:asciiTheme="minorHAnsi" w:cstheme="minorHAnsi" w:hAnsiTheme="minorHAnsi"/>
          <w:color w:val="000000"/>
        </w:rPr>
        <w:t xml:space="preserve">d)   v noci ze dne konání tradičního hudebního festivalu „HRADY.CZ“ na den následující        </w:t>
        <w:tab/>
        <w:t xml:space="preserve">konané jeden víkend v noci z pátku na sobotu a v noci ze soboty na neděli v měsíci </w:t>
        <w:tab/>
        <w:t>srpnu (dvě noci),</w:t>
      </w:r>
    </w:p>
    <w:p>
      <w:pPr>
        <w:pStyle w:val="ListParagraph"/>
        <w:widowControl/>
        <w:numPr>
          <w:ilvl w:val="0"/>
          <w:numId w:val="0"/>
        </w:numPr>
        <w:tabs>
          <w:tab w:val="clear" w:pos="720"/>
          <w:tab w:val="left" w:pos="396" w:leader="none"/>
          <w:tab w:val="left" w:pos="1020" w:leader="none"/>
        </w:tabs>
        <w:suppressAutoHyphens w:val="true"/>
        <w:bidi w:val="0"/>
        <w:spacing w:before="0" w:after="0"/>
        <w:ind w:left="737" w:right="0" w:hanging="0"/>
        <w:contextualSpacing/>
        <w:jc w:val="both"/>
        <w:rPr/>
      </w:pPr>
      <w:r>
        <w:rPr>
          <w:rFonts w:cs="Calibri" w:ascii="Calibri" w:hAnsi="Calibri" w:asciiTheme="minorHAnsi" w:cstheme="minorHAnsi" w:hAnsiTheme="minorHAnsi"/>
          <w:color w:val="000000"/>
        </w:rPr>
        <w:t>e)</w:t>
        <w:tab/>
        <w:t xml:space="preserve"> v noci ze dne konání akce „Letní slavnost v Domoradovicích“ na den následující </w:t>
      </w:r>
      <w:r>
        <w:rPr>
          <w:rFonts w:cs="Calibri" w:ascii="Calibri" w:hAnsi="Calibri" w:asciiTheme="minorHAnsi" w:cstheme="minorHAnsi" w:hAnsiTheme="minorHAnsi"/>
          <w:color w:val="000000"/>
        </w:rPr>
        <w:t>konané</w:t>
      </w:r>
      <w:r>
        <w:rPr>
          <w:rFonts w:cs="Calibri" w:ascii="Calibri" w:hAnsi="Calibri" w:asciiTheme="minorHAnsi" w:cstheme="minorHAnsi" w:hAnsiTheme="minorHAnsi"/>
          <w:color w:val="000000"/>
        </w:rPr>
        <w:t xml:space="preserve">                                 </w:t>
      </w:r>
    </w:p>
    <w:p>
      <w:pPr>
        <w:pStyle w:val="ListParagraph"/>
        <w:widowControl/>
        <w:tabs>
          <w:tab w:val="clear" w:pos="720"/>
          <w:tab w:val="left" w:pos="396" w:leader="none"/>
          <w:tab w:val="left" w:pos="1020" w:leader="none"/>
        </w:tabs>
        <w:suppressAutoHyphens w:val="true"/>
        <w:bidi w:val="0"/>
        <w:spacing w:before="0" w:after="0"/>
        <w:ind w:left="737" w:right="0" w:hanging="0"/>
        <w:contextualSpacing/>
        <w:jc w:val="both"/>
        <w:rPr/>
      </w:pPr>
      <w:r>
        <w:rPr>
          <w:rFonts w:cs="Calibri" w:ascii="Calibri" w:hAnsi="Calibri" w:asciiTheme="minorHAnsi" w:cstheme="minorHAnsi" w:hAnsiTheme="minorHAnsi"/>
          <w:color w:val="000000"/>
        </w:rPr>
        <w:t xml:space="preserve">      </w:t>
      </w:r>
      <w:r>
        <w:rPr>
          <w:rFonts w:cs="Calibri" w:ascii="Calibri" w:hAnsi="Calibri" w:asciiTheme="minorHAnsi" w:cstheme="minorHAnsi" w:hAnsiTheme="minorHAnsi"/>
          <w:color w:val="000000"/>
        </w:rPr>
        <w:t>jednu noc v měsíci srpnu.</w:t>
      </w:r>
    </w:p>
    <w:p>
      <w:pPr>
        <w:pStyle w:val="ListParagraph"/>
        <w:tabs>
          <w:tab w:val="clear" w:pos="720"/>
          <w:tab w:val="left" w:pos="284" w:leader="none"/>
        </w:tabs>
        <w:spacing w:before="0" w:after="120"/>
        <w:contextualSpacing/>
        <w:jc w:val="both"/>
        <w:rPr>
          <w:rFonts w:ascii="Calibri" w:hAnsi="Calibri"/>
        </w:rPr>
      </w:pPr>
      <w:r>
        <w:rPr>
          <w:rFonts w:ascii="Calibri" w:hAnsi="Calibri"/>
        </w:rPr>
      </w:r>
    </w:p>
    <w:p>
      <w:pPr>
        <w:pStyle w:val="Normal"/>
        <w:numPr>
          <w:ilvl w:val="0"/>
          <w:numId w:val="3"/>
        </w:numPr>
        <w:tabs>
          <w:tab w:val="clear" w:pos="720"/>
          <w:tab w:val="left" w:pos="284" w:leader="none"/>
        </w:tabs>
        <w:jc w:val="both"/>
        <w:rPr/>
      </w:pPr>
      <w:r>
        <w:rPr>
          <w:rFonts w:cs="Arial" w:ascii="Calibri" w:hAnsi="Calibri"/>
          <w:color w:val="000000"/>
        </w:rPr>
        <w:t xml:space="preserve">Informace o konkrétním termínu konání akcí uvedených v odst. 2, 3, 4, 5 a 6 tohoto článku obecně závazné vyhlášky bude zveřejněna městským úřadem na úřední desce nejméně </w:t>
        <w:br/>
        <w:t>5 dnů před datem konání.</w:t>
      </w:r>
    </w:p>
    <w:p>
      <w:pPr>
        <w:pStyle w:val="Normal"/>
        <w:tabs>
          <w:tab w:val="clear" w:pos="720"/>
          <w:tab w:val="left" w:pos="284" w:leader="none"/>
        </w:tabs>
        <w:jc w:val="both"/>
        <w:rPr>
          <w:rFonts w:ascii="Calibri" w:hAnsi="Calibri" w:cs="Arial"/>
        </w:rPr>
      </w:pPr>
      <w:r>
        <w:rPr>
          <w:rFonts w:cs="Arial" w:ascii="Calibri" w:hAnsi="Calibri"/>
        </w:rPr>
      </w:r>
    </w:p>
    <w:p>
      <w:pPr>
        <w:pStyle w:val="Normal"/>
        <w:jc w:val="center"/>
        <w:rPr>
          <w:rFonts w:ascii="Calibri" w:hAnsi="Calibri"/>
        </w:rPr>
      </w:pPr>
      <w:r>
        <w:rPr>
          <w:rFonts w:cs="Arial" w:ascii="Calibri" w:hAnsi="Calibri"/>
          <w:b/>
          <w:color w:val="000000"/>
        </w:rPr>
        <w:t>Článek 4</w:t>
      </w:r>
    </w:p>
    <w:p>
      <w:pPr>
        <w:pStyle w:val="Normal"/>
        <w:jc w:val="center"/>
        <w:rPr>
          <w:rFonts w:ascii="Calibri" w:hAnsi="Calibri"/>
        </w:rPr>
      </w:pPr>
      <w:r>
        <w:rPr>
          <w:rFonts w:cs="Arial" w:ascii="Calibri" w:hAnsi="Calibri"/>
          <w:b/>
          <w:color w:val="000000"/>
        </w:rPr>
        <w:t>Zrušovací ustanovení</w:t>
      </w:r>
    </w:p>
    <w:p>
      <w:pPr>
        <w:pStyle w:val="Normal"/>
        <w:jc w:val="both"/>
        <w:rPr>
          <w:rFonts w:ascii="Calibri" w:hAnsi="Calibri" w:cs="Arial"/>
          <w:b/>
        </w:rPr>
      </w:pPr>
      <w:r>
        <w:rPr>
          <w:rFonts w:cs="Arial" w:ascii="Calibri" w:hAnsi="Calibri"/>
          <w:b/>
        </w:rPr>
      </w:r>
    </w:p>
    <w:p>
      <w:pPr>
        <w:pStyle w:val="Normal"/>
        <w:jc w:val="both"/>
        <w:rPr>
          <w:rFonts w:ascii="Calibri" w:hAnsi="Calibri"/>
        </w:rPr>
      </w:pPr>
      <w:r>
        <w:rPr>
          <w:rFonts w:cs="Arial" w:ascii="Calibri" w:hAnsi="Calibri"/>
          <w:color w:val="000000"/>
        </w:rPr>
        <w:t xml:space="preserve">Zrušuje se obecně závazná vyhláška města Hradec nad Moravicí č. 1/2023, o nočním klidu, ze dne 17.04.2023. </w:t>
      </w:r>
    </w:p>
    <w:p>
      <w:pPr>
        <w:pStyle w:val="Normal"/>
        <w:jc w:val="both"/>
        <w:rPr>
          <w:rFonts w:ascii="Calibri" w:hAnsi="Calibri"/>
        </w:rPr>
      </w:pPr>
      <w:r>
        <w:rPr>
          <w:rFonts w:ascii="Calibri" w:hAnsi="Calibri"/>
        </w:rPr>
      </w:r>
    </w:p>
    <w:p>
      <w:pPr>
        <w:pStyle w:val="Normal"/>
        <w:jc w:val="center"/>
        <w:rPr>
          <w:rFonts w:ascii="Calibri" w:hAnsi="Calibri"/>
        </w:rPr>
      </w:pPr>
      <w:r>
        <w:rPr>
          <w:rFonts w:cs="Arial" w:ascii="Calibri" w:hAnsi="Calibri"/>
          <w:b/>
          <w:color w:val="000000"/>
        </w:rPr>
        <w:t>Článek 5</w:t>
      </w:r>
    </w:p>
    <w:p>
      <w:pPr>
        <w:pStyle w:val="Normal"/>
        <w:jc w:val="center"/>
        <w:rPr>
          <w:rFonts w:ascii="Calibri" w:hAnsi="Calibri"/>
        </w:rPr>
      </w:pPr>
      <w:r>
        <w:rPr>
          <w:rFonts w:cs="Arial" w:ascii="Calibri" w:hAnsi="Calibri"/>
          <w:b/>
          <w:color w:val="000000"/>
        </w:rPr>
        <w:t>Účinnost</w:t>
      </w:r>
    </w:p>
    <w:p>
      <w:pPr>
        <w:pStyle w:val="Normal"/>
        <w:jc w:val="both"/>
        <w:rPr>
          <w:rFonts w:ascii="Calibri" w:hAnsi="Calibri" w:cs="Arial"/>
          <w:b/>
        </w:rPr>
      </w:pPr>
      <w:r>
        <w:rPr>
          <w:rFonts w:cs="Arial" w:ascii="Calibri" w:hAnsi="Calibri"/>
          <w:b/>
        </w:rPr>
      </w:r>
    </w:p>
    <w:p>
      <w:pPr>
        <w:pStyle w:val="Normal"/>
        <w:spacing w:before="0" w:after="120"/>
        <w:jc w:val="both"/>
        <w:rPr>
          <w:rFonts w:ascii="Calibri" w:hAnsi="Calibri"/>
        </w:rPr>
      </w:pPr>
      <w:r>
        <w:rPr>
          <w:rFonts w:cs="Arial" w:ascii="Calibri" w:hAnsi="Calibri"/>
          <w:color w:val="000000"/>
        </w:rPr>
        <w:t>Tato obecně závazná vyhláška nabývá účinnosti počátkem patnáctého dne následujícího po dni jejího vyhlášení.</w:t>
      </w:r>
    </w:p>
    <w:p>
      <w:pPr>
        <w:pStyle w:val="Normal"/>
        <w:spacing w:before="0" w:after="120"/>
        <w:jc w:val="both"/>
        <w:rPr>
          <w:rFonts w:ascii="Calibri" w:hAnsi="Calibri"/>
        </w:rPr>
      </w:pPr>
      <w:r>
        <w:rPr>
          <w:rFonts w:cs="Arial" w:ascii="Calibri" w:hAnsi="Calibri"/>
          <w:i/>
          <w:color w:val="000000"/>
        </w:rPr>
        <w:tab/>
      </w:r>
    </w:p>
    <w:p>
      <w:pPr>
        <w:pStyle w:val="Normal"/>
        <w:spacing w:before="0" w:after="120"/>
        <w:jc w:val="both"/>
        <w:rPr>
          <w:rFonts w:ascii="Calibri" w:hAnsi="Calibri"/>
        </w:rPr>
      </w:pPr>
      <w:r>
        <w:rPr>
          <w:rFonts w:ascii="Calibri" w:hAnsi="Calibri"/>
        </w:rPr>
      </w:r>
    </w:p>
    <w:p>
      <w:pPr>
        <w:pStyle w:val="Normal"/>
        <w:spacing w:before="0" w:after="120"/>
        <w:jc w:val="both"/>
        <w:rPr>
          <w:rFonts w:ascii="Calibri" w:hAnsi="Calibri"/>
        </w:rPr>
      </w:pPr>
      <w:r>
        <w:rPr>
          <w:rFonts w:cs="Arial" w:ascii="Calibri" w:hAnsi="Calibri"/>
          <w:i/>
          <w:color w:val="000000"/>
        </w:rPr>
        <w:tab/>
      </w:r>
      <w:r>
        <w:rPr>
          <w:rFonts w:cs="Arial" w:ascii="Calibri" w:hAnsi="Calibri"/>
          <w:color w:val="000000"/>
        </w:rPr>
        <w:tab/>
        <w:tab/>
        <w:tab/>
        <w:tab/>
        <w:tab/>
        <w:t xml:space="preserve"> </w:t>
        <w:tab/>
        <w:tab/>
        <w:tab/>
      </w:r>
    </w:p>
    <w:p>
      <w:pPr>
        <w:pStyle w:val="Normal"/>
        <w:jc w:val="both"/>
        <w:rPr>
          <w:rFonts w:ascii="Calibri" w:hAnsi="Calibri"/>
        </w:rPr>
      </w:pPr>
      <w:r>
        <w:rPr>
          <w:rFonts w:cs="Arial" w:ascii="Calibri" w:hAnsi="Calibri"/>
          <w:color w:val="000000"/>
        </w:rPr>
        <w:tab/>
        <w:t xml:space="preserve">Alexander ČERNÝ v. r. </w:t>
        <w:tab/>
        <w:tab/>
        <w:tab/>
        <w:tab/>
        <w:t xml:space="preserve">     </w:t>
        <w:tab/>
        <w:t xml:space="preserve">     </w:t>
        <w:tab/>
        <w:t xml:space="preserve">       Mgr. Patrik ORLÍK v. r.  </w:t>
      </w:r>
    </w:p>
    <w:p>
      <w:pPr>
        <w:pStyle w:val="Normal"/>
        <w:jc w:val="both"/>
        <w:rPr>
          <w:rFonts w:ascii="Calibri" w:hAnsi="Calibri"/>
        </w:rPr>
      </w:pPr>
      <w:r>
        <w:rPr>
          <w:rFonts w:cs="Arial" w:ascii="Calibri" w:hAnsi="Calibri"/>
          <w:color w:val="000000"/>
        </w:rPr>
        <w:t xml:space="preserve">    </w:t>
      </w:r>
      <w:r>
        <w:rPr>
          <w:rFonts w:cs="Arial" w:ascii="Calibri" w:hAnsi="Calibri"/>
          <w:color w:val="000000"/>
        </w:rPr>
        <w:tab/>
        <w:t xml:space="preserve">   místostarosta</w:t>
        <w:tab/>
        <w:tab/>
        <w:tab/>
        <w:tab/>
        <w:tab/>
        <w:tab/>
        <w:tab/>
        <w:t xml:space="preserve">     starosta</w:t>
      </w:r>
    </w:p>
    <w:sectPr>
      <w:footerReference w:type="default" r:id="rId3"/>
      <w:footnotePr>
        <w:numFmt w:val="decimal"/>
      </w:footnotePr>
      <w:type w:val="nextPage"/>
      <w:pgSz w:w="11906" w:h="16838"/>
      <w:pgMar w:left="1188" w:right="1130" w:gutter="0" w:header="0" w:top="1134" w:footer="1134" w:bottom="1417"/>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Bookman Old Style">
    <w:charset w:val="ee"/>
    <w:family w:val="roman"/>
    <w:pitch w:val="variable"/>
  </w:font>
  <w:font w:name="Times New Roman">
    <w:charset w:val="ee"/>
    <w:family w:val="roman"/>
    <w:pitch w:val="variable"/>
  </w:font>
  <w:font w:name="OpenSymbol">
    <w:altName w:val="Arial Unicode MS"/>
    <w:charset w:val="ee"/>
    <w:family w:val="roman"/>
    <w:pitch w:val="variable"/>
  </w:font>
  <w:font w:name="Segoe UI">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80"/>
        </w:tabs>
        <w:ind w:left="1080" w:hanging="360"/>
      </w:pPr>
      <w:rPr>
        <w:b w:val="false"/>
        <w:bCs w:val="false"/>
        <w:rFonts w:ascii="Calibri" w:hAnsi="Calibri"/>
      </w:rPr>
    </w:lvl>
    <w:lvl w:ilvl="1">
      <w:start w:val="1"/>
      <w:numFmt w:val="lowerLetter"/>
      <w:lvlText w:val="%2)"/>
      <w:lvlJc w:val="left"/>
      <w:pPr>
        <w:tabs>
          <w:tab w:val="num" w:pos="1440"/>
        </w:tabs>
        <w:ind w:left="1440" w:hanging="360"/>
      </w:pPr>
      <w:rPr>
        <w:b w:val="false"/>
        <w:bCs w:val="false"/>
      </w:rPr>
    </w:lvl>
    <w:lvl w:ilvl="2">
      <w:start w:val="1"/>
      <w:numFmt w:val="lowerLetter"/>
      <w:lvlText w:val="%3)"/>
      <w:lvlJc w:val="left"/>
      <w:pPr>
        <w:tabs>
          <w:tab w:val="num" w:pos="1800"/>
        </w:tabs>
        <w:ind w:left="1800" w:hanging="360"/>
      </w:pPr>
      <w:rPr>
        <w:b w:val="false"/>
        <w:bCs w:val="false"/>
      </w:rPr>
    </w:lvl>
    <w:lvl w:ilvl="3">
      <w:start w:val="1"/>
      <w:numFmt w:val="lowerLetter"/>
      <w:lvlText w:val="%4)"/>
      <w:lvlJc w:val="left"/>
      <w:pPr>
        <w:tabs>
          <w:tab w:val="num" w:pos="2160"/>
        </w:tabs>
        <w:ind w:left="2160" w:hanging="360"/>
      </w:pPr>
      <w:rPr>
        <w:b w:val="false"/>
        <w:bCs w:val="false"/>
      </w:rPr>
    </w:lvl>
    <w:lvl w:ilvl="4">
      <w:start w:val="1"/>
      <w:numFmt w:val="lowerLetter"/>
      <w:lvlText w:val="%5)"/>
      <w:lvlJc w:val="left"/>
      <w:pPr>
        <w:tabs>
          <w:tab w:val="num" w:pos="2520"/>
        </w:tabs>
        <w:ind w:left="2520" w:hanging="360"/>
      </w:pPr>
      <w:rPr>
        <w:b w:val="false"/>
        <w:bCs w:val="false"/>
      </w:rPr>
    </w:lvl>
    <w:lvl w:ilvl="5">
      <w:start w:val="1"/>
      <w:numFmt w:val="lowerLetter"/>
      <w:lvlText w:val="%6)"/>
      <w:lvlJc w:val="left"/>
      <w:pPr>
        <w:tabs>
          <w:tab w:val="num" w:pos="2880"/>
        </w:tabs>
        <w:ind w:left="2880" w:hanging="360"/>
      </w:pPr>
      <w:rPr>
        <w:b w:val="false"/>
        <w:bCs w:val="false"/>
      </w:rPr>
    </w:lvl>
    <w:lvl w:ilvl="6">
      <w:start w:val="1"/>
      <w:numFmt w:val="lowerLetter"/>
      <w:lvlText w:val="%7)"/>
      <w:lvlJc w:val="left"/>
      <w:pPr>
        <w:tabs>
          <w:tab w:val="num" w:pos="3240"/>
        </w:tabs>
        <w:ind w:left="3240" w:hanging="360"/>
      </w:pPr>
      <w:rPr>
        <w:b w:val="false"/>
        <w:bCs w:val="false"/>
      </w:rPr>
    </w:lvl>
    <w:lvl w:ilvl="7">
      <w:start w:val="1"/>
      <w:numFmt w:val="lowerLetter"/>
      <w:lvlText w:val="%8)"/>
      <w:lvlJc w:val="left"/>
      <w:pPr>
        <w:tabs>
          <w:tab w:val="num" w:pos="3600"/>
        </w:tabs>
        <w:ind w:left="3600" w:hanging="360"/>
      </w:pPr>
      <w:rPr>
        <w:b w:val="false"/>
        <w:bCs w:val="false"/>
      </w:rPr>
    </w:lvl>
    <w:lvl w:ilvl="8">
      <w:start w:val="1"/>
      <w:numFmt w:val="lowerLetter"/>
      <w:lvlText w:val="%9)"/>
      <w:lvlJc w:val="left"/>
      <w:pPr>
        <w:tabs>
          <w:tab w:val="num" w:pos="3960"/>
        </w:tabs>
        <w:ind w:left="3960" w:hanging="360"/>
      </w:pPr>
      <w:rPr>
        <w:b w:val="false"/>
        <w:bCs w:val="false"/>
      </w:rPr>
    </w:lvl>
  </w:abstractNum>
  <w:abstractNum w:abstractNumId="3">
    <w:lvl w:ilvl="0">
      <w:start w:val="1"/>
      <w:numFmt w:val="decimal"/>
      <w:lvlText w:val="(%1)"/>
      <w:lvlJc w:val="left"/>
      <w:pPr>
        <w:tabs>
          <w:tab w:val="num" w:pos="720"/>
        </w:tabs>
        <w:ind w:left="720" w:hanging="360"/>
      </w:pPr>
      <w:rPr>
        <w:sz w:val="24"/>
        <w:b w:val="false"/>
        <w:szCs w:val="24"/>
        <w:bCs w:val="false"/>
        <w:rFonts w:ascii="Calibri" w:hAnsi="Calibri"/>
      </w:rPr>
    </w:lvl>
    <w:lvl w:ilvl="1">
      <w:start w:val="3"/>
      <w:numFmt w:val="decimal"/>
      <w:lvlText w:val="(%2)"/>
      <w:lvlJc w:val="left"/>
      <w:pPr>
        <w:tabs>
          <w:tab w:val="num" w:pos="1080"/>
        </w:tabs>
        <w:ind w:left="1080" w:hanging="360"/>
      </w:pPr>
      <w:rPr>
        <w:b w:val="false"/>
        <w:bCs w:val="false"/>
      </w:rPr>
    </w:lvl>
    <w:lvl w:ilvl="2">
      <w:start w:val="1"/>
      <w:numFmt w:val="decimal"/>
      <w:lvlText w:val="(%3)"/>
      <w:lvlJc w:val="left"/>
      <w:pPr>
        <w:tabs>
          <w:tab w:val="num" w:pos="1440"/>
        </w:tabs>
        <w:ind w:left="1440" w:hanging="360"/>
      </w:pPr>
      <w:rPr>
        <w:b w:val="false"/>
        <w:bCs w:val="false"/>
      </w:rPr>
    </w:lvl>
    <w:lvl w:ilvl="3">
      <w:start w:val="1"/>
      <w:numFmt w:val="decimal"/>
      <w:lvlText w:val="(%4)"/>
      <w:lvlJc w:val="left"/>
      <w:pPr>
        <w:tabs>
          <w:tab w:val="num" w:pos="1800"/>
        </w:tabs>
        <w:ind w:left="1800" w:hanging="360"/>
      </w:pPr>
      <w:rPr>
        <w:b w:val="false"/>
        <w:bCs w:val="false"/>
      </w:rPr>
    </w:lvl>
    <w:lvl w:ilvl="4">
      <w:start w:val="1"/>
      <w:numFmt w:val="decimal"/>
      <w:lvlText w:val="(%5)"/>
      <w:lvlJc w:val="left"/>
      <w:pPr>
        <w:tabs>
          <w:tab w:val="num" w:pos="2160"/>
        </w:tabs>
        <w:ind w:left="2160" w:hanging="360"/>
      </w:pPr>
      <w:rPr>
        <w:b w:val="false"/>
        <w:bCs w:val="false"/>
      </w:rPr>
    </w:lvl>
    <w:lvl w:ilvl="5">
      <w:start w:val="1"/>
      <w:numFmt w:val="decimal"/>
      <w:lvlText w:val="(%6)"/>
      <w:lvlJc w:val="left"/>
      <w:pPr>
        <w:tabs>
          <w:tab w:val="num" w:pos="2520"/>
        </w:tabs>
        <w:ind w:left="2520" w:hanging="360"/>
      </w:pPr>
      <w:rPr>
        <w:b w:val="false"/>
        <w:bCs w:val="false"/>
      </w:rPr>
    </w:lvl>
    <w:lvl w:ilvl="6">
      <w:start w:val="1"/>
      <w:numFmt w:val="decimal"/>
      <w:lvlText w:val="(%7)"/>
      <w:lvlJc w:val="left"/>
      <w:pPr>
        <w:tabs>
          <w:tab w:val="num" w:pos="2880"/>
        </w:tabs>
        <w:ind w:left="2880" w:hanging="360"/>
      </w:pPr>
      <w:rPr>
        <w:b w:val="false"/>
        <w:bCs w:val="false"/>
      </w:rPr>
    </w:lvl>
    <w:lvl w:ilvl="7">
      <w:start w:val="1"/>
      <w:numFmt w:val="decimal"/>
      <w:lvlText w:val="(%8)"/>
      <w:lvlJc w:val="left"/>
      <w:pPr>
        <w:tabs>
          <w:tab w:val="num" w:pos="3240"/>
        </w:tabs>
        <w:ind w:left="3240" w:hanging="360"/>
      </w:pPr>
      <w:rPr>
        <w:b w:val="false"/>
        <w:bCs w:val="false"/>
      </w:rPr>
    </w:lvl>
    <w:lvl w:ilvl="8">
      <w:start w:val="1"/>
      <w:numFmt w:val="decimal"/>
      <w:lvlText w:val="(%9)"/>
      <w:lvlJc w:val="left"/>
      <w:pPr>
        <w:tabs>
          <w:tab w:val="num" w:pos="3600"/>
        </w:tabs>
        <w:ind w:left="3600" w:hanging="360"/>
      </w:pPr>
      <w:rPr>
        <w:b w:val="false"/>
        <w:bCs w:val="false"/>
      </w:rPr>
    </w:lvl>
  </w:abstractNum>
  <w:abstractNum w:abstractNumId="4">
    <w:lvl w:ilvl="0">
      <w:start w:val="1"/>
      <w:numFmt w:val="lowerLetter"/>
      <w:lvlText w:val="%1)"/>
      <w:lvlJc w:val="left"/>
      <w:pPr>
        <w:tabs>
          <w:tab w:val="num" w:pos="720"/>
        </w:tabs>
        <w:ind w:left="720" w:hanging="360"/>
      </w:pPr>
      <w:rPr>
        <w:b w:val="false"/>
        <w:bCs w:val="false"/>
        <w:color w:val="000000"/>
      </w:rPr>
    </w:lvl>
    <w:lvl w:ilvl="1">
      <w:start w:val="1"/>
      <w:numFmt w:val="lowerLetter"/>
      <w:lvlText w:val="%2)"/>
      <w:lvlJc w:val="left"/>
      <w:pPr>
        <w:tabs>
          <w:tab w:val="num" w:pos="1080"/>
        </w:tabs>
        <w:ind w:left="1080" w:hanging="360"/>
      </w:pPr>
      <w:rPr>
        <w:b w:val="false"/>
        <w:bCs w:val="false"/>
        <w:color w:val="000000"/>
      </w:rPr>
    </w:lvl>
    <w:lvl w:ilvl="2">
      <w:start w:val="1"/>
      <w:numFmt w:val="lowerLetter"/>
      <w:lvlText w:val="%3)"/>
      <w:lvlJc w:val="left"/>
      <w:pPr>
        <w:tabs>
          <w:tab w:val="num" w:pos="1440"/>
        </w:tabs>
        <w:ind w:left="1440" w:hanging="360"/>
      </w:pPr>
      <w:rPr>
        <w:b w:val="false"/>
        <w:bCs w:val="false"/>
        <w:color w:val="000000"/>
      </w:rPr>
    </w:lvl>
    <w:lvl w:ilvl="3">
      <w:start w:val="1"/>
      <w:numFmt w:val="lowerLetter"/>
      <w:lvlText w:val="%4)"/>
      <w:lvlJc w:val="left"/>
      <w:pPr>
        <w:tabs>
          <w:tab w:val="num" w:pos="1800"/>
        </w:tabs>
        <w:ind w:left="1800" w:hanging="360"/>
      </w:pPr>
      <w:rPr>
        <w:b w:val="false"/>
        <w:bCs w:val="false"/>
        <w:color w:val="000000"/>
      </w:rPr>
    </w:lvl>
    <w:lvl w:ilvl="4">
      <w:start w:val="1"/>
      <w:numFmt w:val="lowerLetter"/>
      <w:lvlText w:val="%5)"/>
      <w:lvlJc w:val="left"/>
      <w:pPr>
        <w:tabs>
          <w:tab w:val="num" w:pos="2160"/>
        </w:tabs>
        <w:ind w:left="2160" w:hanging="360"/>
      </w:pPr>
      <w:rPr>
        <w:b w:val="false"/>
        <w:bCs w:val="false"/>
        <w:color w:val="000000"/>
      </w:rPr>
    </w:lvl>
    <w:lvl w:ilvl="5">
      <w:start w:val="1"/>
      <w:numFmt w:val="lowerLetter"/>
      <w:lvlText w:val="%6)"/>
      <w:lvlJc w:val="left"/>
      <w:pPr>
        <w:tabs>
          <w:tab w:val="num" w:pos="2520"/>
        </w:tabs>
        <w:ind w:left="2520" w:hanging="360"/>
      </w:pPr>
      <w:rPr>
        <w:b w:val="false"/>
        <w:bCs w:val="false"/>
        <w:color w:val="000000"/>
      </w:rPr>
    </w:lvl>
    <w:lvl w:ilvl="6">
      <w:start w:val="1"/>
      <w:numFmt w:val="lowerLetter"/>
      <w:lvlText w:val="%7)"/>
      <w:lvlJc w:val="left"/>
      <w:pPr>
        <w:tabs>
          <w:tab w:val="num" w:pos="2880"/>
        </w:tabs>
        <w:ind w:left="2880" w:hanging="360"/>
      </w:pPr>
      <w:rPr>
        <w:b w:val="false"/>
        <w:bCs w:val="false"/>
        <w:color w:val="000000"/>
      </w:rPr>
    </w:lvl>
    <w:lvl w:ilvl="7">
      <w:start w:val="1"/>
      <w:numFmt w:val="lowerLetter"/>
      <w:lvlText w:val="%8)"/>
      <w:lvlJc w:val="left"/>
      <w:pPr>
        <w:tabs>
          <w:tab w:val="num" w:pos="3240"/>
        </w:tabs>
        <w:ind w:left="3240" w:hanging="360"/>
      </w:pPr>
      <w:rPr>
        <w:b w:val="false"/>
        <w:bCs w:val="false"/>
        <w:color w:val="000000"/>
      </w:rPr>
    </w:lvl>
    <w:lvl w:ilvl="8">
      <w:start w:val="1"/>
      <w:numFmt w:val="lowerLetter"/>
      <w:lvlText w:val="%9)"/>
      <w:lvlJc w:val="left"/>
      <w:pPr>
        <w:tabs>
          <w:tab w:val="num" w:pos="3600"/>
        </w:tabs>
        <w:ind w:left="3600" w:hanging="360"/>
      </w:pPr>
      <w:rPr>
        <w:b w:val="false"/>
        <w:bCs w:val="false"/>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Mangal"/>
      <w:color w:val="auto"/>
      <w:kern w:val="2"/>
      <w:sz w:val="24"/>
      <w:szCs w:val="24"/>
      <w:lang w:val="cs-CZ" w:eastAsia="zh-CN" w:bidi="hi-IN"/>
    </w:rPr>
  </w:style>
  <w:style w:type="paragraph" w:styleId="Nadpis3">
    <w:name w:val="Heading 3"/>
    <w:basedOn w:val="Normal"/>
    <w:next w:val="Normal"/>
    <w:qFormat/>
    <w:pPr>
      <w:keepNext w:val="true"/>
      <w:jc w:val="center"/>
      <w:outlineLvl w:val="2"/>
    </w:pPr>
    <w:rPr>
      <w:rFonts w:ascii="Bookman Old Style" w:hAnsi="Bookman Old Style" w:cs="Bookman Old Style"/>
      <w:b/>
      <w:sz w:val="32"/>
      <w:szCs w:val="20"/>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qFormat/>
    <w:rPr>
      <w:rFonts w:ascii="Times New Roman" w:hAnsi="Times New Roman"/>
      <w:sz w:val="20"/>
      <w:szCs w:val="20"/>
    </w:rPr>
  </w:style>
  <w:style w:type="character" w:styleId="ZpatChar" w:customStyle="1">
    <w:name w:val="Zápatí Char"/>
    <w:basedOn w:val="DefaultParagraphFont"/>
    <w:qFormat/>
    <w:rPr>
      <w:rFonts w:ascii="Times New Roman" w:hAnsi="Times New Roman"/>
    </w:rPr>
  </w:style>
  <w:style w:type="character" w:styleId="Symbolyproslovn" w:customStyle="1">
    <w:name w:val="Symboly pro číslování"/>
    <w:qFormat/>
    <w:rPr>
      <w:b w:val="false"/>
      <w:bCs w:val="false"/>
      <w:color w:val="000000"/>
    </w:rPr>
  </w:style>
  <w:style w:type="character" w:styleId="Odrky" w:customStyle="1">
    <w:name w:val="Odrážky"/>
    <w:qFormat/>
    <w:rPr>
      <w:rFonts w:ascii="OpenSymbol" w:hAnsi="OpenSymbol" w:eastAsia="OpenSymbol" w:cs="OpenSymbol"/>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TextbublinyChar" w:customStyle="1">
    <w:name w:val="Text bubliny Char"/>
    <w:basedOn w:val="DefaultParagraphFont"/>
    <w:link w:val="BalloonText"/>
    <w:uiPriority w:val="99"/>
    <w:semiHidden/>
    <w:qFormat/>
    <w:rsid w:val="0072003e"/>
    <w:rPr>
      <w:rFonts w:ascii="Segoe UI" w:hAnsi="Segoe UI"/>
      <w:sz w:val="18"/>
      <w:szCs w:val="16"/>
    </w:rPr>
  </w:style>
  <w:style w:type="character" w:styleId="TextpoznpodarouChar" w:customStyle="1">
    <w:name w:val="Text pozn. pod čarou Char"/>
    <w:basedOn w:val="DefaultParagraphFont"/>
    <w:uiPriority w:val="99"/>
    <w:qFormat/>
    <w:rsid w:val="00c419fc"/>
    <w:rPr>
      <w:rFonts w:ascii="Times New Roman" w:hAnsi="Times New Roman" w:eastAsia="Times New Roman" w:cs="Times New Roman"/>
      <w:kern w:val="0"/>
      <w:szCs w:val="20"/>
      <w:lang w:eastAsia="cs-CZ" w:bidi="ar-SA"/>
    </w:rPr>
  </w:style>
  <w:style w:type="character" w:styleId="Znakypropoznmkupodarou">
    <w:name w:val="Znaky pro poznámku pod čarou"/>
    <w:uiPriority w:val="99"/>
    <w:semiHidden/>
    <w:qFormat/>
    <w:rsid w:val="00c419fc"/>
    <w:rPr>
      <w:vertAlign w:val="superscript"/>
    </w:rPr>
  </w:style>
  <w:style w:type="character" w:styleId="Ukotvenpoznmkypodarou">
    <w:name w:val="Footnote Reference"/>
    <w:rPr>
      <w:vertAlign w:val="superscript"/>
    </w:rPr>
  </w:style>
  <w:style w:type="character" w:styleId="Znakyprovysvtlivky">
    <w:name w:val="Znaky pro vysvětlivky"/>
    <w:qFormat/>
    <w:rPr>
      <w:vertAlign w:val="superscript"/>
    </w:rPr>
  </w:style>
  <w:style w:type="character" w:styleId="Ukotvenvysvtlivky">
    <w:name w:val="Endnote Reference"/>
    <w:rPr>
      <w:vertAlign w:val="superscript"/>
    </w:rPr>
  </w:style>
  <w:style w:type="paragraph" w:styleId="Nadpis" w:customStyle="1">
    <w:name w:val="Nadpis"/>
    <w:basedOn w:val="Normal"/>
    <w:next w:val="Tlotextu"/>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DocumentMap">
    <w:name w:val="Document Map"/>
    <w:qFormat/>
    <w:pPr>
      <w:widowControl/>
      <w:suppressAutoHyphens w:val="true"/>
      <w:bidi w:val="0"/>
      <w:spacing w:lineRule="auto" w:line="276" w:before="0" w:after="200"/>
      <w:jc w:val="left"/>
    </w:pPr>
    <w:rPr>
      <w:rFonts w:ascii="Calibri" w:hAnsi="Calibri" w:eastAsia="Cambria Math" w:cs="Times New Roman"/>
      <w:color w:val="auto"/>
      <w:kern w:val="2"/>
      <w:sz w:val="22"/>
      <w:szCs w:val="22"/>
      <w:lang w:val="cs-CZ" w:eastAsia="en-US" w:bidi="ar-SA"/>
    </w:rPr>
  </w:style>
  <w:style w:type="paragraph" w:styleId="NormlnIMP" w:customStyle="1">
    <w:name w:val="Normální_IMP"/>
    <w:basedOn w:val="Normal"/>
    <w:qFormat/>
    <w:pPr>
      <w:spacing w:lineRule="auto" w:line="228"/>
      <w:jc w:val="both"/>
      <w:textAlignment w:val="baseline"/>
    </w:pPr>
    <w:rPr>
      <w:szCs w:val="20"/>
    </w:rPr>
  </w:style>
  <w:style w:type="paragraph" w:styleId="ListParagraph">
    <w:name w:val="List Paragraph"/>
    <w:basedOn w:val="Normal"/>
    <w:qFormat/>
    <w:pPr>
      <w:spacing w:before="0" w:after="0"/>
      <w:ind w:left="720" w:hanging="0"/>
      <w:contextualSpacing/>
    </w:pPr>
    <w:rPr/>
  </w:style>
  <w:style w:type="paragraph" w:styleId="Zhlavazpat" w:customStyle="1">
    <w:name w:val="Záhlaví a zápatí"/>
    <w:basedOn w:val="Normal"/>
    <w:qFormat/>
    <w:pPr/>
    <w:rPr/>
  </w:style>
  <w:style w:type="paragraph" w:styleId="Zpat">
    <w:name w:val="Footer"/>
    <w:basedOn w:val="Normal"/>
    <w:pPr/>
    <w:rPr/>
  </w:style>
  <w:style w:type="paragraph" w:styleId="Zhlav">
    <w:name w:val="Header"/>
    <w:basedOn w:val="Normal"/>
    <w:pPr>
      <w:suppressLineNumbers/>
      <w:tabs>
        <w:tab w:val="clear" w:pos="720"/>
        <w:tab w:val="center" w:pos="4819" w:leader="none"/>
        <w:tab w:val="right" w:pos="9638" w:leader="none"/>
      </w:tabs>
    </w:pPr>
    <w:rPr/>
  </w:style>
  <w:style w:type="paragraph" w:styleId="BalloonText">
    <w:name w:val="Balloon Text"/>
    <w:basedOn w:val="Normal"/>
    <w:link w:val="TextbublinyChar"/>
    <w:uiPriority w:val="99"/>
    <w:semiHidden/>
    <w:unhideWhenUsed/>
    <w:qFormat/>
    <w:rsid w:val="0072003e"/>
    <w:pPr/>
    <w:rPr>
      <w:rFonts w:ascii="Segoe UI" w:hAnsi="Segoe UI"/>
      <w:sz w:val="18"/>
      <w:szCs w:val="16"/>
    </w:rPr>
  </w:style>
  <w:style w:type="paragraph" w:styleId="Poznmkapodarou">
    <w:name w:val="Footnote Text"/>
    <w:basedOn w:val="Normal"/>
    <w:link w:val="TextpoznpodarouChar"/>
    <w:uiPriority w:val="99"/>
    <w:rsid w:val="00c419fc"/>
    <w:pPr>
      <w:suppressAutoHyphens w:val="false"/>
    </w:pPr>
    <w:rPr>
      <w:rFonts w:ascii="Times New Roman" w:hAnsi="Times New Roman" w:eastAsia="Times New Roman" w:cs="Times New Roman"/>
      <w:kern w:val="0"/>
      <w:sz w:val="20"/>
      <w:szCs w:val="20"/>
      <w:lang w:eastAsia="cs-CZ" w:bidi="ar-SA"/>
    </w:rPr>
  </w:style>
  <w:style w:type="numbering" w:styleId="NoList" w:default="1">
    <w:name w:val="No List"/>
    <w:uiPriority w:val="99"/>
    <w:semiHidden/>
    <w:unhideWhenUsed/>
    <w:qFormat/>
  </w:style>
  <w:style w:type="numbering" w:styleId="WW8Num1" w:customStyle="1">
    <w:name w:val="WW8Num1"/>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LibreOffice/7.5.2.2$Windows_X86_64 LibreOffice_project/53bb9681a964705cf672590721dbc85eb4d0c3a2</Application>
  <AppVersion>15.0000</AppVersion>
  <Pages>3</Pages>
  <Words>912</Words>
  <Characters>4463</Characters>
  <CharactersWithSpaces>5435</CharactersWithSpaces>
  <Paragraphs>56</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2024-04-09T06:07:00Z</dcterms:created>
  <dc:creator>VALÍKOVÁ Radomíra, JUDr.</dc:creator>
  <dc:description/>
  <dc:language>cs-CZ</dc:language>
  <cp:lastModifiedBy/>
  <cp:lastPrinted>2024-04-22T09:03:10Z</cp:lastPrinted>
  <dcterms:modified xsi:type="dcterms:W3CDTF">2024-04-23T10:40:45Z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