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FF4E" w14:textId="77777777" w:rsidR="00511984" w:rsidRPr="002E0EAD" w:rsidRDefault="00511984" w:rsidP="00511984">
      <w:pPr>
        <w:pStyle w:val="Zhlav"/>
        <w:tabs>
          <w:tab w:val="clear" w:pos="4536"/>
          <w:tab w:val="clear" w:pos="9072"/>
        </w:tabs>
      </w:pPr>
    </w:p>
    <w:p w14:paraId="536D1832" w14:textId="77777777" w:rsidR="00511984" w:rsidRPr="008B1A17" w:rsidRDefault="00511984" w:rsidP="00511984">
      <w:pPr>
        <w:pStyle w:val="Nzev"/>
        <w:rPr>
          <w:sz w:val="16"/>
          <w:szCs w:val="20"/>
        </w:rPr>
      </w:pPr>
      <w:r w:rsidRPr="008B1A17">
        <w:t>M ě s t o    S t a r ý    P l z e n e c</w:t>
      </w:r>
    </w:p>
    <w:p w14:paraId="1B460D3C" w14:textId="77777777" w:rsidR="00511984" w:rsidRPr="00A90493" w:rsidRDefault="00511984" w:rsidP="0051198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90493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69766CD1" w14:textId="77777777" w:rsidR="00511984" w:rsidRPr="002E0EAD" w:rsidRDefault="00511984" w:rsidP="00511984">
      <w:pPr>
        <w:spacing w:line="276" w:lineRule="auto"/>
        <w:jc w:val="center"/>
        <w:rPr>
          <w:rFonts w:ascii="Arial" w:hAnsi="Arial" w:cs="Arial"/>
          <w:b/>
        </w:rPr>
      </w:pPr>
    </w:p>
    <w:p w14:paraId="7F398CB3" w14:textId="77777777" w:rsidR="00511984" w:rsidRDefault="00511984" w:rsidP="00511984">
      <w:pPr>
        <w:pStyle w:val="Nzev"/>
        <w:spacing w:before="0" w:after="0"/>
      </w:pPr>
      <w:r w:rsidRPr="00F242C6">
        <w:t xml:space="preserve">Obecně závazná vyhláška města </w:t>
      </w:r>
      <w:r>
        <w:t xml:space="preserve">Starý Plzenec </w:t>
      </w:r>
    </w:p>
    <w:p w14:paraId="5DD7BC1E" w14:textId="5D8E305A" w:rsidR="009A384F" w:rsidRPr="00B27732" w:rsidRDefault="00511984" w:rsidP="009A384F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</w:rPr>
      </w:pPr>
      <w:r w:rsidRPr="0048403B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>místním poplatku z</w:t>
      </w:r>
      <w:r w:rsidR="009A384F">
        <w:rPr>
          <w:rFonts w:ascii="Arial" w:hAnsi="Arial" w:cs="Arial"/>
          <w:b/>
          <w:color w:val="000000"/>
          <w:sz w:val="32"/>
          <w:szCs w:val="32"/>
        </w:rPr>
        <w:t>e psů</w:t>
      </w:r>
      <w:r w:rsidRPr="0048403B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54FB4C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A384F">
        <w:rPr>
          <w:rFonts w:ascii="Arial" w:hAnsi="Arial" w:cs="Arial"/>
          <w:sz w:val="22"/>
          <w:szCs w:val="22"/>
        </w:rPr>
        <w:t xml:space="preserve">města Starý Plzenec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A384F">
        <w:rPr>
          <w:rFonts w:ascii="Arial" w:hAnsi="Arial" w:cs="Arial"/>
          <w:sz w:val="22"/>
          <w:szCs w:val="22"/>
        </w:rPr>
        <w:t xml:space="preserve">27.11.2023 usnesením č. </w:t>
      </w:r>
      <w:r w:rsidR="00217A6A">
        <w:rPr>
          <w:rFonts w:ascii="Arial" w:hAnsi="Arial" w:cs="Arial"/>
          <w:sz w:val="22"/>
          <w:szCs w:val="22"/>
        </w:rPr>
        <w:t>09.11/2023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380D08C" w:rsidR="00893F98" w:rsidRPr="0001228D" w:rsidRDefault="009A384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Starý Plzenec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215B62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9A384F">
        <w:rPr>
          <w:rFonts w:ascii="Arial" w:hAnsi="Arial" w:cs="Arial"/>
          <w:sz w:val="22"/>
          <w:szCs w:val="22"/>
        </w:rPr>
        <w:t xml:space="preserve">Městský </w:t>
      </w:r>
      <w:r w:rsidR="00E4247A" w:rsidRPr="0001228D">
        <w:rPr>
          <w:rFonts w:ascii="Arial" w:hAnsi="Arial" w:cs="Arial"/>
          <w:sz w:val="22"/>
          <w:szCs w:val="22"/>
        </w:rPr>
        <w:t>úřad</w:t>
      </w:r>
      <w:r w:rsidR="009A384F">
        <w:rPr>
          <w:rFonts w:ascii="Arial" w:hAnsi="Arial" w:cs="Arial"/>
          <w:sz w:val="22"/>
          <w:szCs w:val="22"/>
        </w:rPr>
        <w:t xml:space="preserve"> Starý Plzenec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A85DE1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9A384F">
        <w:rPr>
          <w:rFonts w:ascii="Arial" w:hAnsi="Arial" w:cs="Arial"/>
          <w:sz w:val="22"/>
          <w:szCs w:val="22"/>
        </w:rPr>
        <w:t>městu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4C0B39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A384F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A28ACE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6C9FDD3" w14:textId="77777777" w:rsidR="007B3AC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EE085D">
        <w:rPr>
          <w:rFonts w:ascii="Arial" w:hAnsi="Arial" w:cs="Arial"/>
          <w:sz w:val="22"/>
          <w:szCs w:val="22"/>
        </w:rPr>
        <w:t xml:space="preserve"> chova</w:t>
      </w:r>
      <w:r w:rsidR="00CB6E3E">
        <w:rPr>
          <w:rFonts w:ascii="Arial" w:hAnsi="Arial" w:cs="Arial"/>
          <w:sz w:val="22"/>
          <w:szCs w:val="22"/>
        </w:rPr>
        <w:t>ného v rodinných domcích</w:t>
      </w:r>
      <w:r w:rsidR="004A1DAB">
        <w:rPr>
          <w:rFonts w:ascii="Arial" w:hAnsi="Arial" w:cs="Arial"/>
          <w:sz w:val="22"/>
          <w:szCs w:val="22"/>
        </w:rPr>
        <w:t xml:space="preserve">, </w:t>
      </w:r>
      <w:r w:rsidR="007B3ACE">
        <w:rPr>
          <w:rFonts w:ascii="Arial" w:hAnsi="Arial" w:cs="Arial"/>
          <w:sz w:val="22"/>
          <w:szCs w:val="22"/>
        </w:rPr>
        <w:t xml:space="preserve">stavbách </w:t>
      </w:r>
    </w:p>
    <w:p w14:paraId="7E63EE97" w14:textId="4B2D7EED" w:rsidR="00CB6E3E" w:rsidRDefault="007B3ACE" w:rsidP="007B3ACE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pro</w:t>
      </w:r>
      <w:r w:rsidR="004A1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rodinnou rekreaci a bytových domech s nejvýše </w:t>
      </w:r>
      <w:r w:rsidR="00717204">
        <w:rPr>
          <w:rFonts w:ascii="Arial" w:hAnsi="Arial" w:cs="Arial"/>
          <w:sz w:val="22"/>
          <w:szCs w:val="22"/>
        </w:rPr>
        <w:tab/>
      </w:r>
    </w:p>
    <w:p w14:paraId="73D560CA" w14:textId="21D2DB0A" w:rsidR="00CB6E3E" w:rsidRDefault="00CB6E3E" w:rsidP="00CB6E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třemi bytovými</w:t>
      </w:r>
      <w:r w:rsidR="004A1DAB">
        <w:rPr>
          <w:rFonts w:ascii="Arial" w:hAnsi="Arial" w:cs="Arial"/>
          <w:sz w:val="22"/>
          <w:szCs w:val="22"/>
        </w:rPr>
        <w:t xml:space="preserve"> jednotkami</w:t>
      </w:r>
      <w:r w:rsidR="004A1DAB">
        <w:rPr>
          <w:rFonts w:ascii="Arial" w:hAnsi="Arial" w:cs="Arial"/>
          <w:sz w:val="22"/>
          <w:szCs w:val="22"/>
        </w:rPr>
        <w:tab/>
      </w:r>
      <w:r w:rsidR="007B3ACE">
        <w:rPr>
          <w:rFonts w:ascii="Arial" w:hAnsi="Arial" w:cs="Arial"/>
          <w:sz w:val="22"/>
          <w:szCs w:val="22"/>
        </w:rPr>
        <w:tab/>
      </w:r>
      <w:r w:rsidR="007B3ACE">
        <w:rPr>
          <w:rFonts w:ascii="Arial" w:hAnsi="Arial" w:cs="Arial"/>
          <w:sz w:val="22"/>
          <w:szCs w:val="22"/>
        </w:rPr>
        <w:tab/>
      </w:r>
      <w:r w:rsidR="007B3ACE">
        <w:rPr>
          <w:rFonts w:ascii="Arial" w:hAnsi="Arial" w:cs="Arial"/>
          <w:sz w:val="22"/>
          <w:szCs w:val="22"/>
        </w:rPr>
        <w:tab/>
      </w:r>
      <w:r w:rsidR="004A1DAB">
        <w:rPr>
          <w:rFonts w:ascii="Arial" w:hAnsi="Arial" w:cs="Arial"/>
          <w:sz w:val="22"/>
          <w:szCs w:val="22"/>
        </w:rPr>
        <w:tab/>
      </w:r>
      <w:r w:rsidR="004A1DAB">
        <w:rPr>
          <w:rFonts w:ascii="Arial" w:hAnsi="Arial" w:cs="Arial"/>
          <w:sz w:val="22"/>
          <w:szCs w:val="22"/>
        </w:rPr>
        <w:tab/>
        <w:t xml:space="preserve">200 </w:t>
      </w:r>
      <w:r w:rsidR="004A1DAB" w:rsidRPr="0080616A">
        <w:rPr>
          <w:rFonts w:ascii="Arial" w:hAnsi="Arial" w:cs="Arial"/>
          <w:sz w:val="22"/>
          <w:szCs w:val="22"/>
        </w:rPr>
        <w:t>Kč</w:t>
      </w:r>
    </w:p>
    <w:p w14:paraId="76318225" w14:textId="2822B518" w:rsidR="00CB6E3E" w:rsidRPr="004035A7" w:rsidRDefault="00CB6E3E" w:rsidP="00CB6E3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za druhého a každého dalšího psa téhož držitele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 Kč,</w:t>
      </w:r>
    </w:p>
    <w:p w14:paraId="3882CDDC" w14:textId="613A208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4A1DAB">
        <w:rPr>
          <w:rFonts w:ascii="Arial" w:hAnsi="Arial" w:cs="Arial"/>
          <w:sz w:val="22"/>
          <w:szCs w:val="22"/>
        </w:rPr>
        <w:t xml:space="preserve">jednoho </w:t>
      </w:r>
      <w:r w:rsidRPr="004035A7">
        <w:rPr>
          <w:rFonts w:ascii="Arial" w:hAnsi="Arial" w:cs="Arial"/>
          <w:sz w:val="22"/>
          <w:szCs w:val="22"/>
        </w:rPr>
        <w:t xml:space="preserve">psa </w:t>
      </w:r>
      <w:r w:rsidR="004A1DAB">
        <w:rPr>
          <w:rFonts w:ascii="Arial" w:hAnsi="Arial" w:cs="Arial"/>
          <w:sz w:val="22"/>
          <w:szCs w:val="22"/>
        </w:rPr>
        <w:t>chovaného v ostatních domech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A1DAB">
        <w:rPr>
          <w:rFonts w:ascii="Arial" w:hAnsi="Arial" w:cs="Arial"/>
          <w:sz w:val="22"/>
          <w:szCs w:val="22"/>
        </w:rPr>
        <w:tab/>
        <w:t>500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0DFDAF29" w14:textId="757C7ED4" w:rsidR="004A1DAB" w:rsidRPr="004035A7" w:rsidRDefault="004A1DAB" w:rsidP="004A1DA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750 Kč,</w:t>
      </w:r>
    </w:p>
    <w:p w14:paraId="0D203C01" w14:textId="24F8E6B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A1DAB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</w:t>
      </w:r>
    </w:p>
    <w:p w14:paraId="103570AC" w14:textId="10F7EC78" w:rsidR="004A1DAB" w:rsidRDefault="004A1DAB" w:rsidP="004A1DA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893F98"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65EA9BE6" w14:textId="11FC8A24" w:rsidR="004A1DAB" w:rsidRDefault="004A1DAB" w:rsidP="004A1DAB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B610F"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 Kč.</w:t>
      </w:r>
    </w:p>
    <w:p w14:paraId="28AAA5FE" w14:textId="1EA97DFE" w:rsidR="00893F98" w:rsidRDefault="002B3C2F" w:rsidP="004A1DAB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18358DB" w14:textId="486B044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217A6A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12137A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A1DAB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CDF7B7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A1DAB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10256F0B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6307A0">
        <w:rPr>
          <w:rFonts w:ascii="Arial" w:hAnsi="Arial" w:cs="Arial"/>
          <w:sz w:val="22"/>
          <w:szCs w:val="22"/>
        </w:rPr>
        <w:t xml:space="preserve">e na 24 měsíců držitel psa, který psa získal darem od města Starý Plzenec na základě uzavřené Dohody o pěstounské péči a následném darování psa. </w:t>
      </w:r>
    </w:p>
    <w:p w14:paraId="52746A70" w14:textId="39C99F78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 xml:space="preserve">Úleva </w:t>
      </w:r>
      <w:r w:rsidR="006307A0">
        <w:rPr>
          <w:rFonts w:ascii="Arial" w:hAnsi="Arial" w:cs="Arial"/>
          <w:sz w:val="22"/>
          <w:szCs w:val="22"/>
        </w:rPr>
        <w:t xml:space="preserve">ve výši 50 % sazby stanovené v čl. 4 </w:t>
      </w:r>
      <w:r w:rsidRPr="00D456D7">
        <w:rPr>
          <w:rFonts w:ascii="Arial" w:hAnsi="Arial" w:cs="Arial"/>
          <w:sz w:val="22"/>
          <w:szCs w:val="22"/>
        </w:rPr>
        <w:t>se poskytuje</w:t>
      </w:r>
      <w:r w:rsidR="006307A0">
        <w:rPr>
          <w:rFonts w:ascii="Arial" w:hAnsi="Arial" w:cs="Arial"/>
          <w:sz w:val="22"/>
          <w:szCs w:val="22"/>
        </w:rPr>
        <w:t xml:space="preserve"> členům mysliveckých spolků a kynologických organizací. Tato úleva se vztahuje pouze na jednoho psa poplatníka.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54546E0" w:rsidR="00C735F5" w:rsidRPr="006307A0" w:rsidRDefault="009E6604" w:rsidP="006307A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6307A0">
        <w:rPr>
          <w:rFonts w:ascii="Arial" w:hAnsi="Arial" w:cs="Arial"/>
          <w:sz w:val="22"/>
          <w:szCs w:val="22"/>
        </w:rPr>
        <w:t xml:space="preserve">vyhláška č. </w:t>
      </w:r>
      <w:r w:rsidR="006307A0" w:rsidRPr="006307A0">
        <w:rPr>
          <w:rFonts w:ascii="Arial" w:hAnsi="Arial" w:cs="Arial"/>
          <w:sz w:val="22"/>
          <w:szCs w:val="22"/>
        </w:rPr>
        <w:t>1</w:t>
      </w:r>
      <w:r w:rsidRPr="006307A0">
        <w:rPr>
          <w:rFonts w:ascii="Arial" w:hAnsi="Arial" w:cs="Arial"/>
          <w:sz w:val="22"/>
          <w:szCs w:val="22"/>
        </w:rPr>
        <w:t>/</w:t>
      </w:r>
      <w:r w:rsidR="006307A0" w:rsidRPr="006307A0">
        <w:rPr>
          <w:rFonts w:ascii="Arial" w:hAnsi="Arial" w:cs="Arial"/>
          <w:sz w:val="22"/>
          <w:szCs w:val="22"/>
        </w:rPr>
        <w:t xml:space="preserve">2019 o místním poplatku ze psů, ze dne 16.12.2019.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C48AEC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C7051">
        <w:rPr>
          <w:rFonts w:ascii="Arial" w:hAnsi="Arial" w:cs="Arial"/>
          <w:sz w:val="22"/>
          <w:szCs w:val="22"/>
        </w:rPr>
        <w:t>01.01.2024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EC0B60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1ABAEB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C7051">
        <w:rPr>
          <w:rFonts w:ascii="Arial" w:hAnsi="Arial" w:cs="Arial"/>
          <w:sz w:val="22"/>
          <w:szCs w:val="22"/>
        </w:rPr>
        <w:t xml:space="preserve">Ing. </w:t>
      </w:r>
      <w:r w:rsidRPr="000C2DC4">
        <w:rPr>
          <w:rFonts w:ascii="Arial" w:hAnsi="Arial" w:cs="Arial"/>
          <w:sz w:val="22"/>
          <w:szCs w:val="22"/>
        </w:rPr>
        <w:t>J</w:t>
      </w:r>
      <w:r w:rsidR="008C7051">
        <w:rPr>
          <w:rFonts w:ascii="Arial" w:hAnsi="Arial" w:cs="Arial"/>
          <w:sz w:val="22"/>
          <w:szCs w:val="22"/>
        </w:rPr>
        <w:t xml:space="preserve">an Eret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C7051">
        <w:rPr>
          <w:rFonts w:ascii="Arial" w:hAnsi="Arial" w:cs="Arial"/>
          <w:sz w:val="22"/>
          <w:szCs w:val="22"/>
        </w:rPr>
        <w:t>Ing. Jan Kotora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21C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7A6A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1DAB"/>
    <w:rsid w:val="004A7AD0"/>
    <w:rsid w:val="004B420B"/>
    <w:rsid w:val="004D2BA6"/>
    <w:rsid w:val="005064A5"/>
    <w:rsid w:val="00511984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07A0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3ACE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051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384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6E3E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085D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51198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11984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51198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29D3-668F-4546-919B-8A5F976D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Hroch Radek</cp:lastModifiedBy>
  <cp:revision>5</cp:revision>
  <cp:lastPrinted>2023-11-09T07:42:00Z</cp:lastPrinted>
  <dcterms:created xsi:type="dcterms:W3CDTF">2023-11-13T08:55:00Z</dcterms:created>
  <dcterms:modified xsi:type="dcterms:W3CDTF">2023-11-29T12:58:00Z</dcterms:modified>
</cp:coreProperties>
</file>