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8878" w14:textId="3107FCAB" w:rsidR="00131160" w:rsidRPr="002E0EAD" w:rsidRDefault="004C0C3F" w:rsidP="00915293">
      <w:pPr>
        <w:pStyle w:val="Zhlav"/>
        <w:tabs>
          <w:tab w:val="clear" w:pos="4536"/>
          <w:tab w:val="clear" w:pos="9072"/>
        </w:tabs>
        <w:jc w:val="center"/>
      </w:pPr>
      <w:r>
        <w:rPr>
          <w:rFonts w:cs="Arial"/>
          <w:noProof/>
          <w:sz w:val="32"/>
          <w:szCs w:val="32"/>
        </w:rPr>
        <w:drawing>
          <wp:inline distT="0" distB="0" distL="0" distR="0" wp14:anchorId="4C2FCBCC" wp14:editId="1C7AE09F">
            <wp:extent cx="1348740" cy="2000250"/>
            <wp:effectExtent l="0" t="0" r="381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94C4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24FE191" w14:textId="77777777" w:rsidR="00487254" w:rsidRPr="006B34AA" w:rsidRDefault="00487254" w:rsidP="00487254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B34AA">
        <w:rPr>
          <w:rFonts w:ascii="Arial" w:hAnsi="Arial" w:cs="Arial"/>
          <w:b/>
          <w:u w:val="single"/>
        </w:rPr>
        <w:t>MĚSTO VIMPERK</w:t>
      </w:r>
    </w:p>
    <w:p w14:paraId="1D8D2CE1" w14:textId="77777777" w:rsidR="00487254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</w:p>
    <w:p w14:paraId="4BFF65DD" w14:textId="77777777" w:rsidR="00487254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Vimperk</w:t>
      </w:r>
    </w:p>
    <w:p w14:paraId="1FF3BCFC" w14:textId="77777777" w:rsidR="00487254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</w:p>
    <w:p w14:paraId="64A5C006" w14:textId="4EA0A890" w:rsidR="00487254" w:rsidRPr="00D2739B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Vimperk č. </w:t>
      </w:r>
      <w:r w:rsidR="00B40E11">
        <w:rPr>
          <w:rFonts w:ascii="Arial" w:hAnsi="Arial" w:cs="Arial"/>
          <w:b/>
        </w:rPr>
        <w:t>2</w:t>
      </w:r>
      <w:r w:rsidRPr="00D2739B">
        <w:rPr>
          <w:rFonts w:ascii="Arial" w:hAnsi="Arial" w:cs="Arial"/>
          <w:b/>
        </w:rPr>
        <w:t>/202</w:t>
      </w:r>
      <w:r w:rsidR="00F10508">
        <w:rPr>
          <w:rFonts w:ascii="Arial" w:hAnsi="Arial" w:cs="Arial"/>
          <w:b/>
        </w:rPr>
        <w:t>4</w:t>
      </w:r>
      <w:r w:rsidRPr="00D2739B">
        <w:rPr>
          <w:rFonts w:ascii="Arial" w:hAnsi="Arial" w:cs="Arial"/>
          <w:b/>
        </w:rPr>
        <w:t>,</w:t>
      </w:r>
    </w:p>
    <w:p w14:paraId="4503ED60" w14:textId="4C154283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F10508">
        <w:rPr>
          <w:rFonts w:ascii="Arial" w:hAnsi="Arial" w:cs="Arial"/>
          <w:b/>
        </w:rPr>
        <w:t>stanovení koeficientů daně z nemovitých věcí</w:t>
      </w:r>
    </w:p>
    <w:p w14:paraId="42B6689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D77E8F" w14:textId="6197634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64FA2">
        <w:rPr>
          <w:rFonts w:ascii="Arial" w:hAnsi="Arial" w:cs="Arial"/>
          <w:b w:val="0"/>
          <w:sz w:val="22"/>
          <w:szCs w:val="22"/>
        </w:rPr>
        <w:t>města Vimperk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F10508">
        <w:rPr>
          <w:rFonts w:ascii="Arial" w:hAnsi="Arial" w:cs="Arial"/>
          <w:b w:val="0"/>
          <w:sz w:val="22"/>
          <w:szCs w:val="22"/>
        </w:rPr>
        <w:t>0</w:t>
      </w:r>
      <w:r w:rsidR="00E7442B">
        <w:rPr>
          <w:rFonts w:ascii="Arial" w:hAnsi="Arial" w:cs="Arial"/>
          <w:b w:val="0"/>
          <w:sz w:val="22"/>
          <w:szCs w:val="22"/>
        </w:rPr>
        <w:t>4</w:t>
      </w:r>
      <w:r w:rsidR="00F10508">
        <w:rPr>
          <w:rFonts w:ascii="Arial" w:hAnsi="Arial" w:cs="Arial"/>
          <w:b w:val="0"/>
          <w:sz w:val="22"/>
          <w:szCs w:val="22"/>
        </w:rPr>
        <w:t>.09.2024</w:t>
      </w:r>
      <w:proofErr w:type="gramEnd"/>
      <w:r w:rsidR="00670F0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87254">
        <w:rPr>
          <w:rFonts w:ascii="Arial" w:hAnsi="Arial" w:cs="Arial"/>
          <w:b w:val="0"/>
          <w:sz w:val="22"/>
          <w:szCs w:val="22"/>
        </w:rPr>
        <w:t xml:space="preserve"> </w:t>
      </w:r>
      <w:r w:rsidR="00B40E11">
        <w:rPr>
          <w:rFonts w:ascii="Arial" w:hAnsi="Arial" w:cs="Arial"/>
          <w:b w:val="0"/>
          <w:sz w:val="22"/>
          <w:szCs w:val="22"/>
        </w:rPr>
        <w:t>150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F10508">
        <w:rPr>
          <w:rFonts w:ascii="Arial" w:hAnsi="Arial" w:cs="Arial"/>
          <w:b w:val="0"/>
          <w:bCs w:val="0"/>
          <w:sz w:val="22"/>
          <w:szCs w:val="22"/>
        </w:rPr>
        <w:t>6 odst. 4, § 11 odst. 5 a § 12 odst. 1 písm. a) bodu 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F10508">
        <w:rPr>
          <w:rFonts w:ascii="Arial" w:hAnsi="Arial" w:cs="Arial"/>
          <w:b w:val="0"/>
          <w:bCs w:val="0"/>
          <w:sz w:val="22"/>
          <w:szCs w:val="22"/>
        </w:rPr>
        <w:t> 338/1992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F10508">
        <w:rPr>
          <w:rFonts w:ascii="Arial" w:hAnsi="Arial" w:cs="Arial"/>
          <w:b w:val="0"/>
          <w:bCs w:val="0"/>
          <w:sz w:val="22"/>
          <w:szCs w:val="22"/>
        </w:rPr>
        <w:t>dani z nemovitých věcí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="00007C68">
        <w:rPr>
          <w:rFonts w:ascii="Arial" w:hAnsi="Arial" w:cs="Arial"/>
          <w:b w:val="0"/>
          <w:bCs w:val="0"/>
          <w:sz w:val="22"/>
          <w:szCs w:val="22"/>
        </w:rPr>
        <w:t>,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</w:t>
      </w:r>
      <w:r w:rsidR="00C1031D" w:rsidRPr="00A75748">
        <w:rPr>
          <w:rFonts w:ascii="Arial" w:hAnsi="Arial" w:cs="Arial"/>
          <w:sz w:val="22"/>
          <w:szCs w:val="22"/>
        </w:rPr>
        <w:t xml:space="preserve">zákon </w:t>
      </w:r>
      <w:r w:rsidR="0093525E" w:rsidRPr="00A75748">
        <w:rPr>
          <w:rFonts w:ascii="Arial" w:hAnsi="Arial" w:cs="Arial"/>
          <w:sz w:val="22"/>
          <w:szCs w:val="22"/>
        </w:rPr>
        <w:t>o</w:t>
      </w:r>
      <w:r w:rsidR="00CB7F43">
        <w:rPr>
          <w:rFonts w:ascii="Arial" w:hAnsi="Arial" w:cs="Arial"/>
          <w:sz w:val="22"/>
          <w:szCs w:val="22"/>
        </w:rPr>
        <w:t> </w:t>
      </w:r>
      <w:r w:rsidR="00F10508">
        <w:rPr>
          <w:rFonts w:ascii="Arial" w:hAnsi="Arial" w:cs="Arial"/>
          <w:sz w:val="22"/>
          <w:szCs w:val="22"/>
        </w:rPr>
        <w:t>dani z nemovitých věcí</w:t>
      </w:r>
      <w:r w:rsidR="00C1031D" w:rsidRPr="00007C68">
        <w:rPr>
          <w:rFonts w:ascii="Arial" w:hAnsi="Arial" w:cs="Arial"/>
          <w:b w:val="0"/>
          <w:sz w:val="22"/>
          <w:szCs w:val="22"/>
        </w:rPr>
        <w:t>)</w:t>
      </w:r>
      <w:r w:rsidR="00402CA3" w:rsidRPr="00007C68">
        <w:rPr>
          <w:rFonts w:ascii="Arial" w:hAnsi="Arial" w:cs="Arial"/>
          <w:b w:val="0"/>
          <w:sz w:val="22"/>
          <w:szCs w:val="22"/>
        </w:rPr>
        <w:t>,</w:t>
      </w:r>
      <w:r w:rsidR="00131160" w:rsidRPr="00007C68">
        <w:rPr>
          <w:rFonts w:ascii="Arial" w:hAnsi="Arial" w:cs="Arial"/>
          <w:b w:val="0"/>
          <w:sz w:val="22"/>
          <w:szCs w:val="22"/>
        </w:rPr>
        <w:t xml:space="preserve"> 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v souladu s § 10 písm.</w:t>
      </w:r>
      <w:r w:rsidR="00F1050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F1050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</w:t>
      </w:r>
      <w:r w:rsidR="00CB7F43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007C68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(dále jen </w:t>
      </w:r>
      <w:r w:rsidR="00131160" w:rsidRPr="00AA6707">
        <w:rPr>
          <w:rFonts w:ascii="Arial" w:hAnsi="Arial" w:cs="Arial"/>
          <w:bCs w:val="0"/>
          <w:iCs/>
          <w:sz w:val="22"/>
          <w:szCs w:val="22"/>
        </w:rPr>
        <w:t>vyhláška</w:t>
      </w:r>
      <w:r w:rsidR="00487254">
        <w:rPr>
          <w:rFonts w:ascii="Arial" w:hAnsi="Arial" w:cs="Arial"/>
          <w:b w:val="0"/>
          <w:bCs w:val="0"/>
          <w:i/>
          <w:iCs/>
          <w:sz w:val="22"/>
          <w:szCs w:val="22"/>
        </w:rPr>
        <w:t>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81F31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FA7D35A" w14:textId="4E9C410D" w:rsidR="00131160" w:rsidRPr="002E0EAD" w:rsidRDefault="00F10508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Zvýšení koeficientu u skupiny stavebních pozemků</w:t>
      </w:r>
    </w:p>
    <w:p w14:paraId="6B873F29" w14:textId="2ABE7B21" w:rsidR="00F10508" w:rsidRDefault="00F10508" w:rsidP="00007C68">
      <w:pPr>
        <w:pStyle w:val="Zkladntextodsazen"/>
        <w:spacing w:line="264" w:lineRule="auto"/>
        <w:ind w:left="0" w:firstLine="0"/>
        <w:rPr>
          <w:rFonts w:ascii="Arial" w:hAnsi="Arial" w:cs="Arial"/>
          <w:sz w:val="22"/>
          <w:szCs w:val="22"/>
        </w:rPr>
      </w:pPr>
      <w:r w:rsidRPr="00F10508">
        <w:rPr>
          <w:rFonts w:ascii="Arial" w:hAnsi="Arial" w:cs="Arial"/>
          <w:sz w:val="22"/>
          <w:szCs w:val="22"/>
        </w:rPr>
        <w:t>U pozemků zařazených do skupiny stavebních pozemků se koeficient, jímž se násobí sazba daně, zvyšuje o jednu kategorii podle členění koeficientů dle § 6 odst. 3 zákona o dani z</w:t>
      </w:r>
      <w:r w:rsidR="00CB7F43">
        <w:rPr>
          <w:rFonts w:ascii="Arial" w:hAnsi="Arial" w:cs="Arial"/>
          <w:sz w:val="22"/>
          <w:szCs w:val="22"/>
        </w:rPr>
        <w:t> </w:t>
      </w:r>
      <w:r w:rsidRPr="00F10508">
        <w:rPr>
          <w:rFonts w:ascii="Arial" w:hAnsi="Arial" w:cs="Arial"/>
          <w:sz w:val="22"/>
          <w:szCs w:val="22"/>
        </w:rPr>
        <w:t xml:space="preserve">nemovitých věcí, a to pro všechny tyto pozemky </w:t>
      </w:r>
      <w:r w:rsidR="00007C68">
        <w:rPr>
          <w:rFonts w:ascii="Arial" w:hAnsi="Arial" w:cs="Arial"/>
          <w:sz w:val="22"/>
          <w:szCs w:val="22"/>
        </w:rPr>
        <w:t xml:space="preserve">v </w:t>
      </w:r>
      <w:r w:rsidRPr="00F10508">
        <w:rPr>
          <w:rFonts w:ascii="Arial" w:hAnsi="Arial" w:cs="Arial"/>
          <w:sz w:val="22"/>
          <w:szCs w:val="22"/>
        </w:rPr>
        <w:t>katastrální</w:t>
      </w:r>
      <w:r w:rsidR="00007C68">
        <w:rPr>
          <w:rFonts w:ascii="Arial" w:hAnsi="Arial" w:cs="Arial"/>
          <w:sz w:val="22"/>
          <w:szCs w:val="22"/>
        </w:rPr>
        <w:t>m</w:t>
      </w:r>
      <w:r w:rsidRPr="00F10508">
        <w:rPr>
          <w:rFonts w:ascii="Arial" w:hAnsi="Arial" w:cs="Arial"/>
          <w:sz w:val="22"/>
          <w:szCs w:val="22"/>
        </w:rPr>
        <w:t xml:space="preserve"> území</w:t>
      </w:r>
      <w:r w:rsidR="00007C68">
        <w:rPr>
          <w:rFonts w:ascii="Arial" w:hAnsi="Arial" w:cs="Arial"/>
          <w:sz w:val="22"/>
          <w:szCs w:val="22"/>
        </w:rPr>
        <w:t xml:space="preserve"> </w:t>
      </w:r>
      <w:r w:rsidRPr="00E7442B">
        <w:rPr>
          <w:rFonts w:ascii="Arial" w:hAnsi="Arial" w:cs="Arial"/>
          <w:b/>
          <w:bCs/>
          <w:sz w:val="22"/>
          <w:szCs w:val="22"/>
        </w:rPr>
        <w:t>Vimperk</w:t>
      </w:r>
      <w:r w:rsidR="00007C68" w:rsidRPr="00B40E11">
        <w:rPr>
          <w:rFonts w:ascii="Arial" w:hAnsi="Arial" w:cs="Arial"/>
          <w:b/>
          <w:sz w:val="22"/>
          <w:szCs w:val="22"/>
        </w:rPr>
        <w:t>.</w:t>
      </w:r>
      <w:r w:rsidRPr="00F10508">
        <w:rPr>
          <w:rFonts w:ascii="Arial" w:hAnsi="Arial" w:cs="Arial"/>
          <w:sz w:val="22"/>
          <w:szCs w:val="22"/>
        </w:rPr>
        <w:tab/>
      </w:r>
      <w:r w:rsidRPr="00F10508">
        <w:rPr>
          <w:rFonts w:ascii="Arial" w:hAnsi="Arial" w:cs="Arial"/>
          <w:sz w:val="22"/>
          <w:szCs w:val="22"/>
        </w:rPr>
        <w:tab/>
      </w:r>
      <w:r w:rsidRPr="00F10508">
        <w:rPr>
          <w:rFonts w:ascii="Arial" w:hAnsi="Arial" w:cs="Arial"/>
          <w:sz w:val="22"/>
          <w:szCs w:val="22"/>
        </w:rPr>
        <w:tab/>
      </w:r>
      <w:r w:rsidRPr="00F10508">
        <w:rPr>
          <w:rFonts w:ascii="Arial" w:hAnsi="Arial" w:cs="Arial"/>
          <w:sz w:val="22"/>
          <w:szCs w:val="22"/>
        </w:rPr>
        <w:tab/>
      </w:r>
    </w:p>
    <w:p w14:paraId="2BE7BE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AD2651" w14:textId="06407230" w:rsidR="00EE3E06" w:rsidRPr="002E0EAD" w:rsidRDefault="00EE3E06" w:rsidP="00EE3E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Zvýšení koeficientu u vybraných skupin staveb a jednotek</w:t>
      </w:r>
    </w:p>
    <w:p w14:paraId="5EC38835" w14:textId="37E3C1C1" w:rsidR="00EE3E06" w:rsidRDefault="00EE3E06" w:rsidP="00007C68">
      <w:pPr>
        <w:tabs>
          <w:tab w:val="left" w:pos="567"/>
        </w:tabs>
        <w:spacing w:line="276" w:lineRule="auto"/>
        <w:jc w:val="both"/>
      </w:pPr>
      <w:r w:rsidRPr="00EE3E06">
        <w:rPr>
          <w:rFonts w:ascii="Arial" w:eastAsiaTheme="minorHAnsi" w:hAnsi="Arial" w:cs="Arial"/>
          <w:sz w:val="22"/>
          <w:szCs w:val="22"/>
          <w:lang w:eastAsia="en-US"/>
        </w:rPr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</w:t>
      </w:r>
      <w:r w:rsidR="00007C68">
        <w:rPr>
          <w:rFonts w:ascii="Arial" w:eastAsiaTheme="minorHAnsi" w:hAnsi="Arial" w:cs="Arial"/>
          <w:sz w:val="22"/>
          <w:szCs w:val="22"/>
          <w:lang w:eastAsia="en-US"/>
        </w:rPr>
        <w:t xml:space="preserve">v </w:t>
      </w:r>
      <w:r w:rsidRPr="00EE3E06">
        <w:rPr>
          <w:rFonts w:ascii="Arial" w:eastAsiaTheme="minorHAnsi" w:hAnsi="Arial" w:cs="Arial"/>
          <w:sz w:val="22"/>
          <w:szCs w:val="22"/>
          <w:lang w:eastAsia="en-US"/>
        </w:rPr>
        <w:t>katastrální</w:t>
      </w:r>
      <w:r w:rsidR="00007C68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EE3E06">
        <w:rPr>
          <w:rFonts w:ascii="Arial" w:eastAsiaTheme="minorHAnsi" w:hAnsi="Arial" w:cs="Arial"/>
          <w:sz w:val="22"/>
          <w:szCs w:val="22"/>
          <w:lang w:eastAsia="en-US"/>
        </w:rPr>
        <w:t xml:space="preserve"> území</w:t>
      </w:r>
      <w:r w:rsidR="00007C6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07C6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Vimperk</w:t>
      </w:r>
      <w:r w:rsidR="00007C68" w:rsidRPr="00B40E11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F10508">
        <w:tab/>
      </w:r>
      <w:r w:rsidRPr="00F10508">
        <w:tab/>
      </w:r>
      <w:r w:rsidRPr="00F10508">
        <w:tab/>
      </w:r>
      <w:r w:rsidRPr="00F10508">
        <w:tab/>
      </w:r>
    </w:p>
    <w:p w14:paraId="04D406DE" w14:textId="1BE4370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</w:t>
      </w:r>
      <w:r w:rsidR="003B7514">
        <w:rPr>
          <w:rFonts w:ascii="Arial" w:hAnsi="Arial" w:cs="Arial"/>
        </w:rPr>
        <w:t xml:space="preserve"> 3</w:t>
      </w:r>
    </w:p>
    <w:p w14:paraId="6CA47190" w14:textId="4B6DEBB2" w:rsidR="00EE3E06" w:rsidRPr="00EE3E06" w:rsidRDefault="00EE3E06" w:rsidP="00EE3E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Místní koeficient pro jednotlivé skupiny nemovitých věcí</w:t>
      </w:r>
    </w:p>
    <w:p w14:paraId="1AA6895C" w14:textId="507BF5E1" w:rsidR="003F03CB" w:rsidRPr="00CB7F43" w:rsidRDefault="00EE3E06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Město Vimperk stanovuje místní koeficient pro jednotlivé skupiny staveb a jednotek dle § 10a odst. 1 zákona o dani z nemovitých věcí, a to v následující výši:</w:t>
      </w:r>
    </w:p>
    <w:p w14:paraId="3E948F48" w14:textId="77777777" w:rsidR="00CB7F43" w:rsidRPr="00CB7F43" w:rsidRDefault="00CB7F43" w:rsidP="00CB7F43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511AF82" w14:textId="423EEF64" w:rsidR="00CB7F43" w:rsidRPr="00CB7F43" w:rsidRDefault="00CB7F43" w:rsidP="00CB7F43">
      <w:pPr>
        <w:pStyle w:val="Odstavecseseznamem"/>
        <w:numPr>
          <w:ilvl w:val="0"/>
          <w:numId w:val="4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</w:rPr>
      </w:pPr>
      <w:r w:rsidRPr="00CB7F43">
        <w:rPr>
          <w:rFonts w:ascii="Arial" w:hAnsi="Arial" w:cs="Arial"/>
        </w:rPr>
        <w:t>rekr</w:t>
      </w:r>
      <w:r w:rsidR="00370F52">
        <w:rPr>
          <w:rFonts w:ascii="Arial" w:hAnsi="Arial" w:cs="Arial"/>
        </w:rPr>
        <w:t>eační budovy</w:t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  <w:t>koeficient 1,6</w:t>
      </w:r>
    </w:p>
    <w:p w14:paraId="1286C35B" w14:textId="75F5A2C1" w:rsidR="00CB7F43" w:rsidRPr="00CB7F43" w:rsidRDefault="00370F52" w:rsidP="00CB7F43">
      <w:pPr>
        <w:pStyle w:val="Odstavecseseznamem"/>
        <w:numPr>
          <w:ilvl w:val="0"/>
          <w:numId w:val="4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</w:rPr>
      </w:pPr>
      <w:r>
        <w:rPr>
          <w:rFonts w:ascii="Arial" w:hAnsi="Arial" w:cs="Arial"/>
        </w:rPr>
        <w:t>garáže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1,6</w:t>
      </w:r>
    </w:p>
    <w:p w14:paraId="57012537" w14:textId="77777777" w:rsidR="00CB7F43" w:rsidRPr="00CB7F43" w:rsidRDefault="00CB7F43" w:rsidP="00CB7F43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0"/>
        <w:jc w:val="both"/>
        <w:rPr>
          <w:rFonts w:ascii="Arial" w:hAnsi="Arial" w:cs="Arial"/>
        </w:rPr>
      </w:pPr>
      <w:r w:rsidRPr="00CB7F43">
        <w:rPr>
          <w:rFonts w:ascii="Arial" w:hAnsi="Arial" w:cs="Arial"/>
        </w:rPr>
        <w:t>zdanitelné stavby a zdanitelné jednotky pro</w:t>
      </w:r>
    </w:p>
    <w:p w14:paraId="61FDA0CB" w14:textId="77777777" w:rsidR="00CB7F43" w:rsidRPr="00CB7F43" w:rsidRDefault="00CB7F43" w:rsidP="00CB7F4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B7F43">
        <w:rPr>
          <w:rFonts w:ascii="Arial" w:hAnsi="Arial" w:cs="Arial"/>
        </w:rPr>
        <w:t>podnikání v zemědělské prvovýrobě, lesním</w:t>
      </w:r>
    </w:p>
    <w:p w14:paraId="5A0E8893" w14:textId="703974F8" w:rsidR="00CB7F43" w:rsidRPr="00CB7F43" w:rsidRDefault="00CB7F43" w:rsidP="00CB7F4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B7F43">
        <w:rPr>
          <w:rFonts w:ascii="Arial" w:hAnsi="Arial" w:cs="Arial"/>
        </w:rPr>
        <w:t>nebo vodním</w:t>
      </w:r>
      <w:r w:rsidR="00370F52">
        <w:rPr>
          <w:rFonts w:ascii="Arial" w:hAnsi="Arial" w:cs="Arial"/>
        </w:rPr>
        <w:t xml:space="preserve"> hospodářství</w:t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  <w:t>koeficient 1,6</w:t>
      </w:r>
    </w:p>
    <w:p w14:paraId="508FBA4F" w14:textId="77777777" w:rsidR="00CB7F43" w:rsidRPr="00CB7F43" w:rsidRDefault="00CB7F43" w:rsidP="00CB7F4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7A9A60C4" w14:textId="77777777" w:rsidR="00CB7F43" w:rsidRPr="00CB7F43" w:rsidRDefault="00CB7F43" w:rsidP="00CB7F43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1"/>
        <w:jc w:val="both"/>
        <w:rPr>
          <w:rFonts w:ascii="Arial" w:hAnsi="Arial" w:cs="Arial"/>
        </w:rPr>
      </w:pPr>
      <w:r w:rsidRPr="00CB7F43">
        <w:rPr>
          <w:rFonts w:ascii="Arial" w:hAnsi="Arial" w:cs="Arial"/>
        </w:rPr>
        <w:t>zdanitelné stavby a zdanitelné jednotky pro</w:t>
      </w:r>
    </w:p>
    <w:p w14:paraId="0F7F3897" w14:textId="77777777" w:rsidR="00CB7F43" w:rsidRPr="00CB7F43" w:rsidRDefault="00CB7F43" w:rsidP="00CB7F4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B7F43">
        <w:rPr>
          <w:rFonts w:ascii="Arial" w:hAnsi="Arial" w:cs="Arial"/>
        </w:rPr>
        <w:t>podnikání v průmyslu, stavebnictví, dopravě,</w:t>
      </w:r>
    </w:p>
    <w:p w14:paraId="1EAAB639" w14:textId="3AD5199D" w:rsidR="00CB7F43" w:rsidRPr="00CB7F43" w:rsidRDefault="00CB7F43" w:rsidP="00CB7F4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B7F43">
        <w:rPr>
          <w:rFonts w:ascii="Arial" w:hAnsi="Arial" w:cs="Arial"/>
        </w:rPr>
        <w:t>energetice nebo ostatní z</w:t>
      </w:r>
      <w:r w:rsidR="00370F52">
        <w:rPr>
          <w:rFonts w:ascii="Arial" w:hAnsi="Arial" w:cs="Arial"/>
        </w:rPr>
        <w:t>emědělské výrobě</w:t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  <w:t>koeficient 1,6</w:t>
      </w:r>
    </w:p>
    <w:p w14:paraId="119563B3" w14:textId="77777777" w:rsidR="00CB7F43" w:rsidRPr="00CB7F43" w:rsidRDefault="00CB7F43" w:rsidP="00CB7F4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161D797C" w14:textId="77777777" w:rsidR="00CB7F43" w:rsidRPr="00CB7F43" w:rsidRDefault="00CB7F43" w:rsidP="00CB7F43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1"/>
        <w:jc w:val="both"/>
        <w:rPr>
          <w:rFonts w:ascii="Arial" w:hAnsi="Arial" w:cs="Arial"/>
        </w:rPr>
      </w:pPr>
      <w:r w:rsidRPr="00CB7F43">
        <w:rPr>
          <w:rFonts w:ascii="Arial" w:hAnsi="Arial" w:cs="Arial"/>
        </w:rPr>
        <w:t>zdanitelné stavby a zdanitelné jednotky pro</w:t>
      </w:r>
    </w:p>
    <w:p w14:paraId="03CA362F" w14:textId="76C73CB7" w:rsidR="00CB7F43" w:rsidRPr="00CB7F43" w:rsidRDefault="00CB7F43" w:rsidP="00CB7F4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B7F43">
        <w:rPr>
          <w:rFonts w:ascii="Arial" w:hAnsi="Arial" w:cs="Arial"/>
        </w:rPr>
        <w:t>ostatní dr</w:t>
      </w:r>
      <w:r w:rsidR="00370F52">
        <w:rPr>
          <w:rFonts w:ascii="Arial" w:hAnsi="Arial" w:cs="Arial"/>
        </w:rPr>
        <w:t>uhy podnikání</w:t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</w:r>
      <w:r w:rsidR="00370F52">
        <w:rPr>
          <w:rFonts w:ascii="Arial" w:hAnsi="Arial" w:cs="Arial"/>
        </w:rPr>
        <w:tab/>
        <w:t>koeficient 1,6</w:t>
      </w:r>
      <w:r w:rsidR="00007C68">
        <w:rPr>
          <w:rFonts w:ascii="Arial" w:hAnsi="Arial" w:cs="Arial"/>
        </w:rPr>
        <w:t>.</w:t>
      </w:r>
    </w:p>
    <w:p w14:paraId="1EFCC5A6" w14:textId="77777777" w:rsidR="00EE3E06" w:rsidRPr="003F03CB" w:rsidRDefault="00EE3E06" w:rsidP="00EE3E06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0B51B635" w14:textId="4807590B" w:rsidR="00131160" w:rsidRPr="002E0EAD" w:rsidRDefault="00EE3E06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pro jednotlivou skupinu nemovitých věcí se vztahuje na všechny nemovité věci dané skupiny nemovitých věcí na území </w:t>
      </w:r>
      <w:r w:rsidRPr="00342A41">
        <w:rPr>
          <w:rFonts w:ascii="Arial" w:hAnsi="Arial" w:cs="Arial"/>
          <w:sz w:val="22"/>
          <w:szCs w:val="22"/>
        </w:rPr>
        <w:t>celého města Vimperk</w:t>
      </w:r>
      <w:r>
        <w:rPr>
          <w:rFonts w:ascii="Arial" w:hAnsi="Arial" w:cs="Arial"/>
          <w:sz w:val="22"/>
          <w:szCs w:val="22"/>
        </w:rPr>
        <w:t>.</w:t>
      </w:r>
    </w:p>
    <w:p w14:paraId="00500B16" w14:textId="528B4C3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5E534F">
        <w:rPr>
          <w:rFonts w:ascii="Arial" w:hAnsi="Arial" w:cs="Arial"/>
        </w:rPr>
        <w:t>4</w:t>
      </w:r>
    </w:p>
    <w:p w14:paraId="19C6043D" w14:textId="110F468C" w:rsidR="00131160" w:rsidRDefault="00CB7F4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14EA4BEC" w14:textId="4CC3063F" w:rsidR="00E44423" w:rsidRDefault="00CB7F43" w:rsidP="00CB7F43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města Vimperk č. 2/2009 o stanovení koeficientu pro výpočet daně z nemovitostí ze dne </w:t>
      </w:r>
      <w:proofErr w:type="gramStart"/>
      <w:r>
        <w:rPr>
          <w:rFonts w:ascii="Arial" w:hAnsi="Arial" w:cs="Arial"/>
          <w:sz w:val="22"/>
          <w:szCs w:val="22"/>
        </w:rPr>
        <w:t>29.06.2009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B6F627D" w14:textId="48042C4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94B">
        <w:rPr>
          <w:rFonts w:ascii="Arial" w:hAnsi="Arial" w:cs="Arial"/>
        </w:rPr>
        <w:t>5</w:t>
      </w:r>
    </w:p>
    <w:p w14:paraId="7B2259BB" w14:textId="6B2D393D" w:rsidR="00131160" w:rsidRPr="002E0EAD" w:rsidRDefault="00CB7F4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54F7BC5" w14:textId="378CE02E" w:rsidR="008D6906" w:rsidRPr="002E0EAD" w:rsidRDefault="00CB7F43" w:rsidP="00CB7F4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dne </w:t>
      </w:r>
      <w:proofErr w:type="gramStart"/>
      <w:r>
        <w:rPr>
          <w:rFonts w:ascii="Arial" w:hAnsi="Arial" w:cs="Arial"/>
          <w:sz w:val="22"/>
          <w:szCs w:val="22"/>
        </w:rPr>
        <w:t>01.01.2025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54BF6A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E42467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958531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623735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DF6B63">
        <w:rPr>
          <w:rFonts w:ascii="Arial" w:hAnsi="Arial" w:cs="Arial"/>
          <w:i/>
          <w:sz w:val="22"/>
          <w:szCs w:val="22"/>
        </w:rPr>
        <w:t>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DF6B63">
        <w:rPr>
          <w:rFonts w:ascii="Arial" w:hAnsi="Arial" w:cs="Arial"/>
          <w:i/>
          <w:sz w:val="22"/>
          <w:szCs w:val="22"/>
        </w:rPr>
        <w:t>..</w:t>
      </w:r>
    </w:p>
    <w:p w14:paraId="590D39A2" w14:textId="45963373" w:rsidR="00131160" w:rsidRPr="002E0EAD" w:rsidRDefault="00DF6B63" w:rsidP="00DF6B6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Jaroslava Martanová</w:t>
      </w:r>
      <w:r w:rsidR="00FE722D">
        <w:rPr>
          <w:rFonts w:ascii="Arial" w:hAnsi="Arial" w:cs="Arial"/>
          <w:sz w:val="22"/>
          <w:szCs w:val="22"/>
        </w:rPr>
        <w:t xml:space="preserve">, v. r. </w:t>
      </w:r>
      <w:r w:rsidR="009D2716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487254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Mgr. Zdeněk Kuncl</w:t>
      </w:r>
      <w:r w:rsidR="00FE722D">
        <w:rPr>
          <w:rFonts w:ascii="Arial" w:hAnsi="Arial" w:cs="Arial"/>
          <w:sz w:val="22"/>
          <w:szCs w:val="22"/>
        </w:rPr>
        <w:t xml:space="preserve">, v. r. </w:t>
      </w:r>
      <w:bookmarkStart w:id="0" w:name="_GoBack"/>
      <w:bookmarkEnd w:id="0"/>
    </w:p>
    <w:p w14:paraId="6B68D1F1" w14:textId="77777777" w:rsidR="00131160" w:rsidRPr="002E0EAD" w:rsidRDefault="00DF6B6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D271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2F4AFF7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36535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E7442B">
      <w:footerReference w:type="default" r:id="rId9"/>
      <w:pgSz w:w="11906" w:h="16838"/>
      <w:pgMar w:top="993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B3625" w14:textId="77777777" w:rsidR="00561BDB" w:rsidRDefault="00561BDB">
      <w:r>
        <w:separator/>
      </w:r>
    </w:p>
  </w:endnote>
  <w:endnote w:type="continuationSeparator" w:id="0">
    <w:p w14:paraId="13548E9F" w14:textId="77777777" w:rsidR="00561BDB" w:rsidRDefault="0056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C289" w14:textId="4CA6ECEF" w:rsidR="00C54C28" w:rsidRPr="00BC04B4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BC04B4">
      <w:rPr>
        <w:rFonts w:ascii="Arial" w:hAnsi="Arial" w:cs="Arial"/>
        <w:sz w:val="20"/>
        <w:szCs w:val="20"/>
      </w:rPr>
      <w:fldChar w:fldCharType="begin"/>
    </w:r>
    <w:r w:rsidRPr="00BC04B4">
      <w:rPr>
        <w:rFonts w:ascii="Arial" w:hAnsi="Arial" w:cs="Arial"/>
        <w:sz w:val="20"/>
        <w:szCs w:val="20"/>
      </w:rPr>
      <w:instrText>PAGE   \* MERGEFORMAT</w:instrText>
    </w:r>
    <w:r w:rsidRPr="00BC04B4">
      <w:rPr>
        <w:rFonts w:ascii="Arial" w:hAnsi="Arial" w:cs="Arial"/>
        <w:sz w:val="20"/>
        <w:szCs w:val="20"/>
      </w:rPr>
      <w:fldChar w:fldCharType="separate"/>
    </w:r>
    <w:r w:rsidR="00FE722D">
      <w:rPr>
        <w:rFonts w:ascii="Arial" w:hAnsi="Arial" w:cs="Arial"/>
        <w:noProof/>
        <w:sz w:val="20"/>
        <w:szCs w:val="20"/>
      </w:rPr>
      <w:t>2</w:t>
    </w:r>
    <w:r w:rsidRPr="00BC04B4">
      <w:rPr>
        <w:rFonts w:ascii="Arial" w:hAnsi="Arial" w:cs="Arial"/>
        <w:sz w:val="20"/>
        <w:szCs w:val="20"/>
      </w:rPr>
      <w:fldChar w:fldCharType="end"/>
    </w:r>
  </w:p>
  <w:p w14:paraId="3E3DF828" w14:textId="77777777" w:rsidR="00B10E4F" w:rsidRPr="00BC04B4" w:rsidRDefault="00B10E4F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EE20E" w14:textId="77777777" w:rsidR="00561BDB" w:rsidRDefault="00561BDB">
      <w:r>
        <w:separator/>
      </w:r>
    </w:p>
  </w:footnote>
  <w:footnote w:type="continuationSeparator" w:id="0">
    <w:p w14:paraId="2BCCFD86" w14:textId="77777777" w:rsidR="00561BDB" w:rsidRDefault="0056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096F76"/>
    <w:multiLevelType w:val="multilevel"/>
    <w:tmpl w:val="43DA65E4"/>
    <w:lvl w:ilvl="0">
      <w:start w:val="1"/>
      <w:numFmt w:val="lowerLetter"/>
      <w:lvlText w:val="%1)"/>
      <w:lvlJc w:val="left"/>
      <w:pPr>
        <w:ind w:left="1134" w:hanging="567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531" w:hanging="397"/>
      </w:pPr>
    </w:lvl>
    <w:lvl w:ilvl="2">
      <w:start w:val="1"/>
      <w:numFmt w:val="decimal"/>
      <w:lvlText w:val="(%3)"/>
      <w:lvlJc w:val="left"/>
      <w:pPr>
        <w:ind w:left="2007" w:hanging="360"/>
      </w:pPr>
    </w:lvl>
    <w:lvl w:ilvl="3">
      <w:start w:val="1"/>
      <w:numFmt w:val="decimal"/>
      <w:lvlText w:val="(%4)"/>
      <w:lvlJc w:val="left"/>
      <w:pPr>
        <w:ind w:left="2367" w:hanging="360"/>
      </w:pPr>
    </w:lvl>
    <w:lvl w:ilvl="4">
      <w:start w:val="1"/>
      <w:numFmt w:val="decimal"/>
      <w:lvlText w:val="(%5)"/>
      <w:lvlJc w:val="left"/>
      <w:pPr>
        <w:ind w:left="2727" w:hanging="360"/>
      </w:pPr>
    </w:lvl>
    <w:lvl w:ilvl="5">
      <w:start w:val="1"/>
      <w:numFmt w:val="decimal"/>
      <w:lvlText w:val="(%6)"/>
      <w:lvlJc w:val="left"/>
      <w:pPr>
        <w:ind w:left="3087" w:hanging="360"/>
      </w:pPr>
    </w:lvl>
    <w:lvl w:ilvl="6">
      <w:start w:val="1"/>
      <w:numFmt w:val="decimal"/>
      <w:lvlText w:val="(%7)"/>
      <w:lvlJc w:val="left"/>
      <w:pPr>
        <w:ind w:left="3447" w:hanging="360"/>
      </w:pPr>
    </w:lvl>
    <w:lvl w:ilvl="7">
      <w:start w:val="1"/>
      <w:numFmt w:val="decimal"/>
      <w:lvlText w:val="(%8)"/>
      <w:lvlJc w:val="left"/>
      <w:pPr>
        <w:ind w:left="3807" w:hanging="360"/>
      </w:pPr>
    </w:lvl>
    <w:lvl w:ilvl="8">
      <w:start w:val="1"/>
      <w:numFmt w:val="decimal"/>
      <w:lvlText w:val="(%9)"/>
      <w:lvlJc w:val="left"/>
      <w:pPr>
        <w:ind w:left="4167" w:hanging="360"/>
      </w:pPr>
    </w:lvl>
  </w:abstractNum>
  <w:abstractNum w:abstractNumId="4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3F420DC"/>
    <w:multiLevelType w:val="hybridMultilevel"/>
    <w:tmpl w:val="941466EE"/>
    <w:lvl w:ilvl="0" w:tplc="5EF098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30619D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4322F3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E1F12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F779D2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9B7F12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12"/>
  </w:num>
  <w:num w:numId="5">
    <w:abstractNumId w:val="9"/>
  </w:num>
  <w:num w:numId="6">
    <w:abstractNumId w:val="34"/>
  </w:num>
  <w:num w:numId="7">
    <w:abstractNumId w:val="16"/>
  </w:num>
  <w:num w:numId="8">
    <w:abstractNumId w:val="18"/>
  </w:num>
  <w:num w:numId="9">
    <w:abstractNumId w:val="15"/>
  </w:num>
  <w:num w:numId="10">
    <w:abstractNumId w:val="0"/>
  </w:num>
  <w:num w:numId="11">
    <w:abstractNumId w:val="14"/>
  </w:num>
  <w:num w:numId="12">
    <w:abstractNumId w:val="10"/>
  </w:num>
  <w:num w:numId="13">
    <w:abstractNumId w:val="23"/>
  </w:num>
  <w:num w:numId="14">
    <w:abstractNumId w:val="3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8"/>
  </w:num>
  <w:num w:numId="19">
    <w:abstractNumId w:val="31"/>
  </w:num>
  <w:num w:numId="20">
    <w:abstractNumId w:val="20"/>
  </w:num>
  <w:num w:numId="21">
    <w:abstractNumId w:val="27"/>
  </w:num>
  <w:num w:numId="22">
    <w:abstractNumId w:val="7"/>
  </w:num>
  <w:num w:numId="23">
    <w:abstractNumId w:val="36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5"/>
  </w:num>
  <w:num w:numId="28">
    <w:abstractNumId w:val="22"/>
  </w:num>
  <w:num w:numId="29">
    <w:abstractNumId w:val="2"/>
  </w:num>
  <w:num w:numId="30">
    <w:abstractNumId w:val="17"/>
  </w:num>
  <w:num w:numId="31">
    <w:abstractNumId w:val="17"/>
  </w:num>
  <w:num w:numId="32">
    <w:abstractNumId w:val="28"/>
  </w:num>
  <w:num w:numId="33">
    <w:abstractNumId w:val="32"/>
  </w:num>
  <w:num w:numId="34">
    <w:abstractNumId w:val="5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4"/>
  </w:num>
  <w:num w:numId="38">
    <w:abstractNumId w:val="13"/>
  </w:num>
  <w:num w:numId="39">
    <w:abstractNumId w:val="30"/>
  </w:num>
  <w:num w:numId="40">
    <w:abstractNumId w:val="21"/>
  </w:num>
  <w:num w:numId="41">
    <w:abstractNumId w:val="6"/>
  </w:num>
  <w:num w:numId="42">
    <w:abstractNumId w:val="4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7C68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05E"/>
    <w:rsid w:val="00065D79"/>
    <w:rsid w:val="00066D7D"/>
    <w:rsid w:val="0007566F"/>
    <w:rsid w:val="0007689D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15B"/>
    <w:rsid w:val="000C42D4"/>
    <w:rsid w:val="000C7313"/>
    <w:rsid w:val="000C758D"/>
    <w:rsid w:val="000D37F6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6469"/>
    <w:rsid w:val="00173886"/>
    <w:rsid w:val="00190222"/>
    <w:rsid w:val="00191186"/>
    <w:rsid w:val="001A0C3C"/>
    <w:rsid w:val="001B36E4"/>
    <w:rsid w:val="001B6CD8"/>
    <w:rsid w:val="001C1953"/>
    <w:rsid w:val="001E0982"/>
    <w:rsid w:val="001E26E3"/>
    <w:rsid w:val="001E37DD"/>
    <w:rsid w:val="001E38ED"/>
    <w:rsid w:val="001E74A9"/>
    <w:rsid w:val="001F2B36"/>
    <w:rsid w:val="001F34BB"/>
    <w:rsid w:val="001F6DF8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37E"/>
    <w:rsid w:val="00264B52"/>
    <w:rsid w:val="00264E4B"/>
    <w:rsid w:val="002666C2"/>
    <w:rsid w:val="0027609E"/>
    <w:rsid w:val="002871C2"/>
    <w:rsid w:val="00295BF4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DCB"/>
    <w:rsid w:val="002E4150"/>
    <w:rsid w:val="002E6E4A"/>
    <w:rsid w:val="002F3690"/>
    <w:rsid w:val="002F4189"/>
    <w:rsid w:val="002F594B"/>
    <w:rsid w:val="002F75B4"/>
    <w:rsid w:val="00300CCD"/>
    <w:rsid w:val="00302A97"/>
    <w:rsid w:val="00303591"/>
    <w:rsid w:val="00304575"/>
    <w:rsid w:val="00322107"/>
    <w:rsid w:val="00322159"/>
    <w:rsid w:val="00327B1F"/>
    <w:rsid w:val="003310BE"/>
    <w:rsid w:val="0033112D"/>
    <w:rsid w:val="00331F03"/>
    <w:rsid w:val="003338CC"/>
    <w:rsid w:val="00342A41"/>
    <w:rsid w:val="00342E31"/>
    <w:rsid w:val="003464E6"/>
    <w:rsid w:val="00350372"/>
    <w:rsid w:val="0036194E"/>
    <w:rsid w:val="00362A72"/>
    <w:rsid w:val="00363015"/>
    <w:rsid w:val="00370F52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4DBA"/>
    <w:rsid w:val="003B7514"/>
    <w:rsid w:val="003C0C49"/>
    <w:rsid w:val="003C2D77"/>
    <w:rsid w:val="003C791B"/>
    <w:rsid w:val="003D33EB"/>
    <w:rsid w:val="003E1A7C"/>
    <w:rsid w:val="003E3347"/>
    <w:rsid w:val="003E4C16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1CD0"/>
    <w:rsid w:val="00464FA2"/>
    <w:rsid w:val="004718C4"/>
    <w:rsid w:val="0047605C"/>
    <w:rsid w:val="004863D0"/>
    <w:rsid w:val="00487254"/>
    <w:rsid w:val="004A05D4"/>
    <w:rsid w:val="004A5FF4"/>
    <w:rsid w:val="004A648F"/>
    <w:rsid w:val="004B1994"/>
    <w:rsid w:val="004B4A8E"/>
    <w:rsid w:val="004C0427"/>
    <w:rsid w:val="004C0C3F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4DFE"/>
    <w:rsid w:val="00532775"/>
    <w:rsid w:val="005344BF"/>
    <w:rsid w:val="00545904"/>
    <w:rsid w:val="00546241"/>
    <w:rsid w:val="00550C8C"/>
    <w:rsid w:val="005523AF"/>
    <w:rsid w:val="00561BDB"/>
    <w:rsid w:val="005620CD"/>
    <w:rsid w:val="005736D7"/>
    <w:rsid w:val="00576D09"/>
    <w:rsid w:val="005867F5"/>
    <w:rsid w:val="005A683D"/>
    <w:rsid w:val="005B3A3F"/>
    <w:rsid w:val="005B47E4"/>
    <w:rsid w:val="005B5A07"/>
    <w:rsid w:val="005B6CB8"/>
    <w:rsid w:val="005C2E4F"/>
    <w:rsid w:val="005C4381"/>
    <w:rsid w:val="005C43D4"/>
    <w:rsid w:val="005C6BA9"/>
    <w:rsid w:val="005D07C9"/>
    <w:rsid w:val="005D3C5A"/>
    <w:rsid w:val="005D4726"/>
    <w:rsid w:val="005E2958"/>
    <w:rsid w:val="005E4BE0"/>
    <w:rsid w:val="005E534F"/>
    <w:rsid w:val="005E6CFC"/>
    <w:rsid w:val="005E7B72"/>
    <w:rsid w:val="005F1253"/>
    <w:rsid w:val="005F6F56"/>
    <w:rsid w:val="006146CA"/>
    <w:rsid w:val="00617559"/>
    <w:rsid w:val="006204F2"/>
    <w:rsid w:val="00621825"/>
    <w:rsid w:val="0062314B"/>
    <w:rsid w:val="00623A3A"/>
    <w:rsid w:val="00632657"/>
    <w:rsid w:val="006402B9"/>
    <w:rsid w:val="0064305E"/>
    <w:rsid w:val="0064692B"/>
    <w:rsid w:val="00650483"/>
    <w:rsid w:val="00652F4D"/>
    <w:rsid w:val="00656B22"/>
    <w:rsid w:val="006679FA"/>
    <w:rsid w:val="00670F06"/>
    <w:rsid w:val="0067325B"/>
    <w:rsid w:val="00675992"/>
    <w:rsid w:val="00677447"/>
    <w:rsid w:val="0068090D"/>
    <w:rsid w:val="00695493"/>
    <w:rsid w:val="006962AD"/>
    <w:rsid w:val="006967EB"/>
    <w:rsid w:val="006A3B50"/>
    <w:rsid w:val="006A4A80"/>
    <w:rsid w:val="006C4CC7"/>
    <w:rsid w:val="006D4118"/>
    <w:rsid w:val="006D7D7E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11A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7B90"/>
    <w:rsid w:val="00880AB8"/>
    <w:rsid w:val="0088420C"/>
    <w:rsid w:val="00887AFC"/>
    <w:rsid w:val="00887D0F"/>
    <w:rsid w:val="00897430"/>
    <w:rsid w:val="008A2F12"/>
    <w:rsid w:val="008B0A2C"/>
    <w:rsid w:val="008B6E2F"/>
    <w:rsid w:val="008D591F"/>
    <w:rsid w:val="008D6906"/>
    <w:rsid w:val="008E43B1"/>
    <w:rsid w:val="008E5AE2"/>
    <w:rsid w:val="008F3152"/>
    <w:rsid w:val="00900DCA"/>
    <w:rsid w:val="00912CE1"/>
    <w:rsid w:val="00915293"/>
    <w:rsid w:val="00915F90"/>
    <w:rsid w:val="00916EB8"/>
    <w:rsid w:val="0091776D"/>
    <w:rsid w:val="00917AB7"/>
    <w:rsid w:val="00924CDB"/>
    <w:rsid w:val="009335F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716"/>
    <w:rsid w:val="009D39EA"/>
    <w:rsid w:val="009E0512"/>
    <w:rsid w:val="009E188F"/>
    <w:rsid w:val="009E26C9"/>
    <w:rsid w:val="009F3901"/>
    <w:rsid w:val="009F75C6"/>
    <w:rsid w:val="00A03904"/>
    <w:rsid w:val="00A05EA6"/>
    <w:rsid w:val="00A31193"/>
    <w:rsid w:val="00A318A9"/>
    <w:rsid w:val="00A32AB3"/>
    <w:rsid w:val="00A418F6"/>
    <w:rsid w:val="00A427B9"/>
    <w:rsid w:val="00A52724"/>
    <w:rsid w:val="00A55621"/>
    <w:rsid w:val="00A74D9D"/>
    <w:rsid w:val="00A75748"/>
    <w:rsid w:val="00A76680"/>
    <w:rsid w:val="00A904E7"/>
    <w:rsid w:val="00A97118"/>
    <w:rsid w:val="00AA6703"/>
    <w:rsid w:val="00AA6707"/>
    <w:rsid w:val="00AA6A20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0E11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04B4"/>
    <w:rsid w:val="00BC17DA"/>
    <w:rsid w:val="00BC3CDA"/>
    <w:rsid w:val="00BC6B7B"/>
    <w:rsid w:val="00BF160C"/>
    <w:rsid w:val="00C1031D"/>
    <w:rsid w:val="00C119A6"/>
    <w:rsid w:val="00C15234"/>
    <w:rsid w:val="00C158F3"/>
    <w:rsid w:val="00C17467"/>
    <w:rsid w:val="00C24684"/>
    <w:rsid w:val="00C3174D"/>
    <w:rsid w:val="00C31C1A"/>
    <w:rsid w:val="00C32D24"/>
    <w:rsid w:val="00C35DC9"/>
    <w:rsid w:val="00C50648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7BE2"/>
    <w:rsid w:val="00CB7F43"/>
    <w:rsid w:val="00CC0853"/>
    <w:rsid w:val="00CC740B"/>
    <w:rsid w:val="00CC7942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7E5"/>
    <w:rsid w:val="00D2283E"/>
    <w:rsid w:val="00D238A1"/>
    <w:rsid w:val="00D2664B"/>
    <w:rsid w:val="00D30A29"/>
    <w:rsid w:val="00D36B62"/>
    <w:rsid w:val="00D40D7B"/>
    <w:rsid w:val="00D50DA9"/>
    <w:rsid w:val="00D51673"/>
    <w:rsid w:val="00D55526"/>
    <w:rsid w:val="00D5659B"/>
    <w:rsid w:val="00D57E6E"/>
    <w:rsid w:val="00D62226"/>
    <w:rsid w:val="00D6303C"/>
    <w:rsid w:val="00D64083"/>
    <w:rsid w:val="00D727CA"/>
    <w:rsid w:val="00D91D9B"/>
    <w:rsid w:val="00D92F64"/>
    <w:rsid w:val="00DA614B"/>
    <w:rsid w:val="00DB0904"/>
    <w:rsid w:val="00DB15CC"/>
    <w:rsid w:val="00DB1EDE"/>
    <w:rsid w:val="00DB2C2A"/>
    <w:rsid w:val="00DB2E35"/>
    <w:rsid w:val="00DC09AE"/>
    <w:rsid w:val="00DC5344"/>
    <w:rsid w:val="00DD0001"/>
    <w:rsid w:val="00DD09F5"/>
    <w:rsid w:val="00DD5DF1"/>
    <w:rsid w:val="00DD6F29"/>
    <w:rsid w:val="00DE18CB"/>
    <w:rsid w:val="00DE1BD0"/>
    <w:rsid w:val="00DE4471"/>
    <w:rsid w:val="00DE4F19"/>
    <w:rsid w:val="00DE7E22"/>
    <w:rsid w:val="00DF4D9E"/>
    <w:rsid w:val="00DF6B63"/>
    <w:rsid w:val="00DF7748"/>
    <w:rsid w:val="00E033AB"/>
    <w:rsid w:val="00E06FD1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42B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E06"/>
    <w:rsid w:val="00EE550B"/>
    <w:rsid w:val="00EF21C3"/>
    <w:rsid w:val="00EF3152"/>
    <w:rsid w:val="00EF6E61"/>
    <w:rsid w:val="00F01D45"/>
    <w:rsid w:val="00F079DC"/>
    <w:rsid w:val="00F10508"/>
    <w:rsid w:val="00F137F9"/>
    <w:rsid w:val="00F147E2"/>
    <w:rsid w:val="00F17586"/>
    <w:rsid w:val="00F27A1E"/>
    <w:rsid w:val="00F31BFF"/>
    <w:rsid w:val="00F3374C"/>
    <w:rsid w:val="00F3733B"/>
    <w:rsid w:val="00F4024F"/>
    <w:rsid w:val="00F40C19"/>
    <w:rsid w:val="00F41241"/>
    <w:rsid w:val="00F51F7D"/>
    <w:rsid w:val="00F53039"/>
    <w:rsid w:val="00F53D0C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722D"/>
    <w:rsid w:val="00FF259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4C8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3B751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3B7514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D6859-EABB-4601-B274-F0BDEBB5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Janoudová Ivana</cp:lastModifiedBy>
  <cp:revision>2</cp:revision>
  <cp:lastPrinted>2024-09-11T11:52:00Z</cp:lastPrinted>
  <dcterms:created xsi:type="dcterms:W3CDTF">2024-09-11T13:13:00Z</dcterms:created>
  <dcterms:modified xsi:type="dcterms:W3CDTF">2024-09-11T13:13:00Z</dcterms:modified>
</cp:coreProperties>
</file>