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2365375</wp:posOffset>
            </wp:positionH>
            <wp:positionV relativeFrom="paragraph">
              <wp:posOffset>154305</wp:posOffset>
            </wp:positionV>
            <wp:extent cx="909320" cy="770255"/>
            <wp:effectExtent l="0" t="0" r="0" b="0"/>
            <wp:wrapSquare wrapText="bothSides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Vysoká Srbská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Vysoká Srbská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Obecně závazná vyhláška obce Vysoká Srbská</w:t>
      </w:r>
    </w:p>
    <w:p>
      <w:pPr>
        <w:pStyle w:val="NormlnIMP"/>
        <w:spacing w:lineRule="auto" w:line="240"/>
        <w:jc w:val="center"/>
        <w:rPr/>
      </w:pPr>
      <w:r>
        <w:rPr>
          <w:rFonts w:cs="Arial" w:ascii="Arial" w:hAnsi="Arial"/>
          <w:b/>
          <w:color w:val="000000"/>
          <w:szCs w:val="24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Vysoká Srbská se na svém zasedání dne </w:t>
      </w:r>
      <w:r>
        <w:rPr>
          <w:rFonts w:cs="Arial" w:ascii="Arial" w:hAnsi="Arial"/>
          <w:sz w:val="22"/>
          <w:szCs w:val="22"/>
        </w:rPr>
        <w:t>16. 12. 2024</w:t>
      </w:r>
      <w:r>
        <w:rPr>
          <w:rFonts w:cs="Arial" w:ascii="Arial" w:hAnsi="Arial"/>
          <w:sz w:val="22"/>
          <w:szCs w:val="22"/>
        </w:rPr>
        <w:t xml:space="preserve"> usnesením</w:t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č. </w:t>
      </w:r>
      <w:r>
        <w:rPr>
          <w:rFonts w:cs="Arial" w:ascii="Arial" w:hAnsi="Arial"/>
          <w:sz w:val="22"/>
          <w:szCs w:val="22"/>
        </w:rPr>
        <w:t>31/2024</w:t>
      </w:r>
      <w:r>
        <w:rPr>
          <w:rFonts w:cs="Arial" w:ascii="Arial" w:hAnsi="Arial"/>
          <w:sz w:val="22"/>
          <w:szCs w:val="22"/>
        </w:rPr>
        <w:t xml:space="preserve"> usneslo vydat na základě zákonného zmocnění:</w:t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§ 10 písm. d) a § 84 odst.2 písm. h) zákona č.128/2000 Sb., o obcích (obecní zřízení), ve znění pozdějších předpisů</w:t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- § 59 odst. 4 zákona č. 541/2020 Sb., o odpadech ve znění pozdějších předpisů. </w:t>
        <w:br/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clear" w:pos="708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stanovuje obecní systém odpadového hospodářství na území obce </w:t>
      </w:r>
      <w:r>
        <w:rPr>
          <w:rFonts w:cs="Arial" w:ascii="Arial" w:hAnsi="Arial"/>
          <w:color w:val="000000"/>
          <w:sz w:val="22"/>
          <w:szCs w:val="22"/>
        </w:rPr>
        <w:t>Vysoká Srbská.</w:t>
      </w:r>
    </w:p>
    <w:p>
      <w:pPr>
        <w:pStyle w:val="Normal"/>
        <w:tabs>
          <w:tab w:val="clear" w:pos="708"/>
          <w:tab w:val="left" w:pos="567" w:leader="none"/>
        </w:tabs>
        <w:ind w:left="426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-142" w:leader="none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ind w:lef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-142" w:leader="none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ind w:lef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-142" w:leader="none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  <w:bCs/>
          <w:color w:val="000000"/>
        </w:rPr>
        <w:t>Biologické odpady rostlinného původu</w:t>
      </w:r>
      <w:r>
        <w:rPr>
          <w:rFonts w:cs="Arial" w:ascii="Arial" w:hAnsi="Arial"/>
          <w:bCs/>
        </w:rPr>
        <w:t>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  <w:bCs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  <w:bCs/>
          <w:color w:val="000000"/>
        </w:rPr>
        <w:t>Plasty včetně PET lahví a nápojových kartonů (dále jen „plasty“),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  <w:bCs/>
          <w:color w:val="000000"/>
        </w:rPr>
        <w:t>Sklo (barevné a čiré),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  <w:bCs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  <w:bCs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  <w:bCs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Textil,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Směsný komunální odpad.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color w:val="00B0F0"/>
          <w:sz w:val="22"/>
          <w:szCs w:val="22"/>
        </w:rPr>
        <w:t xml:space="preserve"> </w:t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bookmarkStart w:id="0" w:name="_Hlk181964912"/>
      <w:r>
        <w:rPr>
          <w:rFonts w:cs="Arial" w:ascii="Arial" w:hAnsi="Arial"/>
          <w:sz w:val="22"/>
          <w:szCs w:val="22"/>
        </w:rPr>
        <w:t xml:space="preserve">Směsným </w:t>
      </w:r>
      <w:bookmarkStart w:id="1" w:name="_Hlk181964923"/>
      <w:r>
        <w:rPr>
          <w:rFonts w:cs="Arial" w:ascii="Arial" w:hAnsi="Arial"/>
          <w:sz w:val="22"/>
          <w:szCs w:val="22"/>
        </w:rPr>
        <w:t>komunálním odpadem se rozumí zbylý komunální odpad po stanoveném vytřídění podle odstavce 1 písm. a), b), c), d), e), f), g), h)  i).</w:t>
      </w:r>
      <w:bookmarkEnd w:id="0"/>
      <w:bookmarkEnd w:id="1"/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Objemný odpad je takový odpad, který vzhledem ke svým rozměrům nemůže být umístěn do sběrných nádob </w:t>
      </w:r>
      <w:r>
        <w:rPr>
          <w:rFonts w:cs="Arial" w:ascii="Arial" w:hAnsi="Arial"/>
          <w:color w:val="000000"/>
          <w:sz w:val="22"/>
          <w:szCs w:val="22"/>
        </w:rPr>
        <w:t>(např. koberce, matrace, nábytek apod.).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 (barevné a čiré), kovy, biologické odpady rostlinného původu,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>, kterými jsou s</w:t>
      </w:r>
      <w:r>
        <w:rPr>
          <w:rFonts w:cs="Arial" w:ascii="Arial" w:hAnsi="Arial"/>
          <w:color w:val="000000"/>
          <w:sz w:val="22"/>
          <w:szCs w:val="22"/>
        </w:rPr>
        <w:t>běrné nádoby, velkoobjemové kontejnery.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stanovištích: 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567" w:leader="none"/>
        </w:tabs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u hasičské zbrojnice ve Zlíčku, u bývalé prodejny potravin, za autobusovou zastávkou u obecního úřadu a v „půli kopce“,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bCs/>
          <w:color w:val="000000"/>
        </w:rPr>
        <w:t>velkoobjemový kontejner na biologický odpad rostlinného původu je umístěn na stanovišti za hřbitovní zdí, skládka velkých větví ze zahrad a dřevní hmoty určené ke štěpkování je za hřbitovní zdí.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Kovy větších rozměrů lze odevzdávat při mobilním svozu, který je zajišťován 1x ročně a to do zvláštních sběrných nádob k tomuto sběru určených. Informace o sběru jsou zveřejňovány na úřední desce obecního úřadu a vývěskách.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případně označeny příslušnými nápisy:</w:t>
      </w:r>
    </w:p>
    <w:p>
      <w:pPr>
        <w:pStyle w:val="Normal"/>
        <w:tabs>
          <w:tab w:val="clear" w:pos="708"/>
          <w:tab w:val="left" w:pos="426" w:leader="none"/>
        </w:tabs>
        <w:ind w:lef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a) </w:t>
        <w:tab/>
        <w:t>papír – sběrná nádoba, barva modrá,</w:t>
      </w:r>
    </w:p>
    <w:p>
      <w:pPr>
        <w:pStyle w:val="ListParagraph"/>
        <w:tabs>
          <w:tab w:val="clear" w:pos="708"/>
          <w:tab w:val="left" w:pos="709" w:leader="none"/>
        </w:tabs>
        <w:spacing w:lineRule="auto" w:line="240" w:before="0" w:after="0"/>
        <w:ind w:left="709" w:hanging="283"/>
        <w:contextualSpacing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b) </w:t>
        <w:tab/>
        <w:t>plasty – sběrná nádoba, barva žlutá,</w:t>
      </w:r>
    </w:p>
    <w:p>
      <w:pPr>
        <w:pStyle w:val="ListParagraph"/>
        <w:tabs>
          <w:tab w:val="clear" w:pos="708"/>
          <w:tab w:val="left" w:pos="709" w:leader="none"/>
        </w:tabs>
        <w:spacing w:lineRule="auto" w:line="240" w:before="0" w:after="0"/>
        <w:ind w:left="709" w:hanging="283"/>
        <w:contextualSpacing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d) </w:t>
        <w:tab/>
        <w:t xml:space="preserve">sklo barevné – sběrná nádoba, barva zelená, </w:t>
      </w:r>
    </w:p>
    <w:p>
      <w:pPr>
        <w:pStyle w:val="ListParagraph"/>
        <w:tabs>
          <w:tab w:val="clear" w:pos="708"/>
          <w:tab w:val="left" w:pos="709" w:leader="none"/>
        </w:tabs>
        <w:spacing w:lineRule="auto" w:line="240" w:before="0" w:after="0"/>
        <w:ind w:left="709" w:hanging="283"/>
        <w:contextualSpacing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e) </w:t>
        <w:tab/>
        <w:t>sklo čiré – sběrná nádoba, barva bílá,</w:t>
      </w:r>
    </w:p>
    <w:p>
      <w:pPr>
        <w:pStyle w:val="ListParagraph"/>
        <w:tabs>
          <w:tab w:val="clear" w:pos="708"/>
          <w:tab w:val="left" w:pos="709" w:leader="none"/>
        </w:tabs>
        <w:spacing w:lineRule="auto" w:line="240" w:before="0" w:after="0"/>
        <w:ind w:left="709" w:hanging="283"/>
        <w:contextualSpacing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f) </w:t>
        <w:tab/>
        <w:t xml:space="preserve">kovy </w:t>
      </w:r>
      <w:bookmarkStart w:id="2" w:name="_Hlk181957130"/>
      <w:r>
        <w:rPr>
          <w:rFonts w:cs="Arial" w:ascii="Arial" w:hAnsi="Arial"/>
          <w:bCs/>
        </w:rPr>
        <w:t>–</w:t>
      </w:r>
      <w:bookmarkEnd w:id="2"/>
      <w:r>
        <w:rPr>
          <w:rFonts w:cs="Arial" w:ascii="Arial" w:hAnsi="Arial"/>
          <w:bCs/>
        </w:rPr>
        <w:t xml:space="preserve"> sběrná nádoba, barva šedá, </w:t>
      </w:r>
    </w:p>
    <w:p>
      <w:pPr>
        <w:pStyle w:val="ListParagraph"/>
        <w:tabs>
          <w:tab w:val="clear" w:pos="708"/>
          <w:tab w:val="left" w:pos="709" w:leader="none"/>
        </w:tabs>
        <w:spacing w:lineRule="auto" w:line="240" w:before="0" w:after="0"/>
        <w:ind w:left="709" w:hanging="283"/>
        <w:contextualSpacing/>
        <w:jc w:val="both"/>
        <w:rPr>
          <w:rFonts w:ascii="Arial" w:hAnsi="Arial" w:cs="Arial"/>
          <w:bCs/>
          <w:i/>
          <w:i/>
          <w:iCs/>
        </w:rPr>
      </w:pPr>
      <w:r>
        <w:rPr>
          <w:rFonts w:cs="Arial" w:ascii="Arial" w:hAnsi="Arial"/>
          <w:bCs/>
        </w:rPr>
        <w:t>g)</w:t>
        <w:tab/>
        <w:t xml:space="preserve">jedlé oleje a tuky – ukládat do uzavřených plastových lahví, </w:t>
      </w:r>
      <w:r>
        <w:rPr>
          <w:rFonts w:cs="Arial" w:ascii="Arial" w:hAnsi="Arial"/>
          <w:bCs/>
          <w:i w:val="false"/>
          <w:iCs w:val="false"/>
          <w:shd w:fill="auto" w:val="clear"/>
        </w:rPr>
        <w:t>které se umisťují vedle sběrných nádob na směsný komunální odpad</w:t>
      </w:r>
    </w:p>
    <w:p>
      <w:pPr>
        <w:pStyle w:val="Normal"/>
        <w:tabs>
          <w:tab w:val="clear" w:pos="708"/>
          <w:tab w:val="left" w:pos="709" w:leader="none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g)</w:t>
        <w:tab/>
        <w:t>biologické odpady rostlinného původu – velkoobjemový kontejner, barva zelená,</w:t>
      </w:r>
    </w:p>
    <w:p>
      <w:pPr>
        <w:pStyle w:val="Normal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iCs/>
          <w:color w:val="000000"/>
          <w:sz w:val="22"/>
          <w:szCs w:val="22"/>
        </w:rPr>
        <w:t xml:space="preserve">       </w:t>
      </w:r>
      <w:r>
        <w:rPr>
          <w:rFonts w:cs="Arial" w:ascii="Arial" w:hAnsi="Arial"/>
          <w:bCs/>
          <w:color w:val="000000"/>
          <w:sz w:val="22"/>
          <w:szCs w:val="22"/>
        </w:rPr>
        <w:t>h)</w:t>
        <w:tab/>
      </w:r>
      <w:r>
        <w:rPr>
          <w:rFonts w:cs="Arial" w:ascii="Arial" w:hAnsi="Arial"/>
          <w:sz w:val="22"/>
          <w:szCs w:val="22"/>
        </w:rPr>
        <w:t xml:space="preserve">textil, sběrná nádoba, barva </w:t>
      </w:r>
      <w:r>
        <w:rPr>
          <w:rFonts w:cs="Arial" w:ascii="Arial" w:hAnsi="Arial"/>
          <w:i w:val="false"/>
          <w:iCs w:val="false"/>
          <w:sz w:val="22"/>
          <w:szCs w:val="22"/>
        </w:rPr>
        <w:t>bílá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Normal"/>
        <w:numPr>
          <w:ilvl w:val="0"/>
          <w:numId w:val="0"/>
        </w:numPr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ind w:left="360" w:hanging="0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</w:t>
      </w:r>
      <w:r>
        <w:rPr>
          <w:rFonts w:cs="Arial" w:ascii="Arial" w:hAnsi="Arial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na úřední desce obecního úřadu a ve vývěskách.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Svoz objemného odpadu je zajišťován minimálně dvakrát ročně jeho odebíráním na předem vyhlášených přechodných stanovištích přímo do zvláštních sběrných nádob k tomuto účelu určených. Informace o svozu jsou zveřejňovány na úřední desce obecního úřadu a ve vývěskách.</w:t>
      </w:r>
    </w:p>
    <w:p>
      <w:pPr>
        <w:pStyle w:val="NormlnIMP"/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cs="Arial" w:ascii="Arial" w:hAnsi="Arial"/>
          <w:color w:val="000000"/>
          <w:sz w:val="22"/>
          <w:szCs w:val="22"/>
        </w:rPr>
        <w:t>:</w:t>
      </w:r>
    </w:p>
    <w:p>
      <w:pPr>
        <w:pStyle w:val="Normal"/>
        <w:widowControl w:val="false"/>
        <w:ind w:left="426" w:hanging="0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trike/>
          <w:color w:val="00B0F0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  <w:t>typizované sběrné nádoby – kovové nebo plastové popelnice o objemu 110 litrů,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odpadkové koše, které jsou umístěny na veřejných prostranstvích v obci, sloužící pro odkládání drobného směsného komunálního odpadu.</w:t>
      </w:r>
    </w:p>
    <w:p>
      <w:pPr>
        <w:pStyle w:val="Normal"/>
        <w:ind w:firstLine="66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3 a 4.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bookmarkStart w:id="3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3"/>
      <w:r>
        <w:rPr>
          <w:rFonts w:cs="Arial" w:ascii="Arial" w:hAnsi="Arial"/>
          <w:sz w:val="22"/>
          <w:szCs w:val="22"/>
        </w:rPr>
        <w:t>č. 1</w:t>
      </w:r>
      <w:r>
        <w:rPr>
          <w:rFonts w:cs="Arial" w:ascii="Arial" w:hAnsi="Arial"/>
          <w:i/>
          <w:sz w:val="22"/>
          <w:szCs w:val="22"/>
        </w:rPr>
        <w:t>/</w:t>
      </w:r>
      <w:r>
        <w:rPr>
          <w:rFonts w:cs="Arial" w:ascii="Arial" w:hAnsi="Arial"/>
          <w:sz w:val="22"/>
          <w:szCs w:val="22"/>
        </w:rPr>
        <w:t>2019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 stanovení systému shromažďování, sběru, přepravy, využívání a odstraňování komunálních odpadů na území obce Vysoká Srbská, ze dne 25. 11. 2019.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1. ledna 2025. </w:t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1A4BD6"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ab/>
        <w:tab/>
        <w:tab/>
        <w:tab/>
      </w:r>
    </w:p>
    <w:p>
      <w:pPr>
        <w:pStyle w:val="Normal"/>
        <w:ind w:firstLine="708"/>
        <w:jc w:val="center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i w:val="false"/>
          <w:iCs w:val="false"/>
          <w:sz w:val="22"/>
          <w:szCs w:val="22"/>
        </w:rPr>
        <w:t xml:space="preserve">Hana Zimmerová </w:t>
      </w:r>
      <w:r>
        <w:rPr>
          <w:rFonts w:cs="Arial" w:ascii="Arial" w:hAnsi="Arial"/>
          <w:bCs/>
          <w:iCs/>
          <w:sz w:val="22"/>
          <w:szCs w:val="22"/>
        </w:rPr>
        <w:t>v. r.</w:t>
      </w:r>
      <w:r>
        <w:rPr>
          <w:rFonts w:cs="Arial" w:ascii="Arial" w:hAnsi="Arial"/>
          <w:bCs/>
          <w:i/>
          <w:sz w:val="22"/>
          <w:szCs w:val="22"/>
        </w:rPr>
        <w:tab/>
      </w:r>
      <w:r>
        <w:rPr>
          <w:rFonts w:cs="Arial" w:ascii="Arial" w:hAnsi="Arial"/>
          <w:bCs/>
          <w:sz w:val="22"/>
          <w:szCs w:val="22"/>
        </w:rPr>
        <w:tab/>
        <w:tab/>
        <w:tab/>
        <w:tab/>
        <w:tab/>
        <w:tab/>
        <w:t>Milan Soldán</w:t>
      </w:r>
      <w:r>
        <w:rPr>
          <w:rFonts w:cs="Arial" w:ascii="Arial" w:hAnsi="Arial"/>
          <w:bCs/>
          <w:i/>
          <w:sz w:val="22"/>
          <w:szCs w:val="22"/>
        </w:rPr>
        <w:t xml:space="preserve"> </w:t>
      </w:r>
      <w:r>
        <w:rPr>
          <w:rFonts w:cs="Arial" w:ascii="Arial" w:hAnsi="Arial"/>
          <w:bCs/>
          <w:iCs/>
          <w:sz w:val="22"/>
          <w:szCs w:val="22"/>
        </w:rPr>
        <w:t>v. r.</w:t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ab/>
        <w:tab/>
        <w:t>starosta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8" w:right="1418" w:gutter="0" w:header="0" w:top="1418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u w:val="non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i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 w:customStyle="1">
    <w:name w:val="Znaky pro poznámku pod čarou"/>
    <w:semiHidden/>
    <w:qFormat/>
    <w:rPr>
      <w:vertAlign w:val="superscript"/>
    </w:rPr>
  </w:style>
  <w:style w:type="character" w:styleId="Ukotvenpoznmkypodarou" w:customStyle="1">
    <w:name w:val="Ukotvení poznámky pod čarou"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character" w:styleId="Symbolyproslovn" w:customStyle="1">
    <w:name w:val="Symboly pro číslování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Application>LibreOffice/7.3.7.2$Windows_X86_64 LibreOffice_project/e114eadc50a9ff8d8c8a0567d6da8f454beeb84f</Application>
  <AppVersion>15.0000</AppVersion>
  <Pages>3</Pages>
  <Words>827</Words>
  <Characters>4656</Characters>
  <CharactersWithSpaces>5441</CharactersWithSpaces>
  <Paragraphs>73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2022-05-18T08:41:00Z</dcterms:created>
  <dc:creator>DA210036</dc:creator>
  <dc:description/>
  <dc:language>cs-CZ</dc:language>
  <cp:lastModifiedBy/>
  <cp:lastPrinted>2024-11-08T12:37:00Z</cp:lastPrinted>
  <dcterms:modified xsi:type="dcterms:W3CDTF">2024-12-17T08:50:27Z</dcterms:modified>
  <cp:revision>20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