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147B14" w:rsidP="008157B5" w14:paraId="15639F15" w14:textId="77777777">
      <w:pPr>
        <w:jc w:val="center"/>
        <w:rPr>
          <w:b/>
          <w:sz w:val="36"/>
          <w:szCs w:val="36"/>
        </w:rPr>
      </w:pPr>
      <w:r w:rsidRPr="00A24C51">
        <w:rPr>
          <w:b/>
          <w:sz w:val="48"/>
          <w:szCs w:val="48"/>
        </w:rPr>
        <w:t>MĚSTO NEJDEK</w:t>
      </w:r>
      <w:r w:rsidR="004D7E94">
        <w:rPr>
          <w:b/>
          <w:sz w:val="48"/>
          <w:szCs w:val="48"/>
        </w:rPr>
        <w:br/>
      </w:r>
      <w:r w:rsidRPr="004D7E94" w:rsidR="004D7E94">
        <w:rPr>
          <w:b/>
          <w:sz w:val="36"/>
          <w:szCs w:val="36"/>
        </w:rPr>
        <w:t>ZASTUPITELSTVO MĚSTA NEJDEK</w:t>
      </w:r>
    </w:p>
    <w:p w:rsidR="004D7E94" w:rsidRPr="004D7E94" w:rsidP="008157B5" w14:paraId="29DA9A3C" w14:textId="77777777">
      <w:pPr>
        <w:jc w:val="center"/>
        <w:rPr>
          <w:b/>
        </w:rPr>
      </w:pPr>
    </w:p>
    <w:p w:rsidR="007B7AE8" w:rsidP="00257161" w14:paraId="425BACB7" w14:textId="77777777">
      <w:pPr>
        <w:jc w:val="center"/>
      </w:pPr>
      <w:r>
        <w:rPr>
          <w:noProof/>
          <w:lang w:eastAsia="cs-CZ"/>
        </w:rPr>
        <w:drawing>
          <wp:inline distT="0" distB="0" distL="0" distR="0">
            <wp:extent cx="905258" cy="1219202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02375" name="znak_nejdek_297x400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8" cy="12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161" w:rsidP="00257161" w14:paraId="51FDB5CE" w14:textId="77777777">
      <w:pPr>
        <w:jc w:val="center"/>
      </w:pPr>
    </w:p>
    <w:p w:rsidR="004C247D" w:rsidRPr="005F4852" w:rsidP="0075697A" w14:paraId="0D348B10" w14:textId="7777777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OBECNĚ ZÁVAZNÁ VYHLÁŠKA</w:t>
      </w:r>
      <w:r>
        <w:rPr>
          <w:b/>
          <w:sz w:val="36"/>
          <w:szCs w:val="36"/>
        </w:rPr>
        <w:br/>
      </w:r>
      <w:r w:rsidRPr="005F4852">
        <w:rPr>
          <w:b/>
          <w:sz w:val="36"/>
          <w:szCs w:val="36"/>
        </w:rPr>
        <w:t>MĚSTA NEJDEK</w:t>
      </w:r>
    </w:p>
    <w:p w:rsidR="008157B5" w:rsidRPr="005F4852" w:rsidP="00EB7B51" w14:paraId="33C79584" w14:textId="4DCBB693">
      <w:pPr>
        <w:jc w:val="center"/>
        <w:rPr>
          <w:b/>
          <w:sz w:val="36"/>
          <w:szCs w:val="36"/>
        </w:rPr>
      </w:pPr>
      <w:r w:rsidRPr="005F4852">
        <w:rPr>
          <w:b/>
          <w:sz w:val="36"/>
          <w:szCs w:val="36"/>
        </w:rPr>
        <w:br/>
      </w:r>
      <w:r w:rsidRPr="005F4852" w:rsidR="00366194">
        <w:rPr>
          <w:b/>
          <w:sz w:val="36"/>
          <w:szCs w:val="36"/>
        </w:rPr>
        <w:t xml:space="preserve">o </w:t>
      </w:r>
      <w:r w:rsidRPr="002C659B" w:rsidR="002C659B">
        <w:rPr>
          <w:b/>
          <w:sz w:val="36"/>
          <w:szCs w:val="36"/>
        </w:rPr>
        <w:t>stanovení místních koeficientů daně z nemovitých věcí</w:t>
      </w:r>
    </w:p>
    <w:p w:rsidR="004C247D" w:rsidRPr="000734BF" w:rsidP="0075697A" w14:paraId="0ABFC558" w14:textId="77777777">
      <w:pPr>
        <w:rPr>
          <w:rFonts w:cs="Arial"/>
        </w:rPr>
      </w:pPr>
    </w:p>
    <w:p w:rsidR="008157B5" w:rsidRPr="00D507D5" w:rsidP="006D4ED3" w14:paraId="7A027305" w14:textId="55D0DE9F">
      <w:pPr>
        <w:jc w:val="both"/>
        <w:rPr>
          <w:rFonts w:cs="Arial"/>
        </w:rPr>
      </w:pPr>
      <w:r w:rsidRPr="002C659B">
        <w:rPr>
          <w:rFonts w:cs="Arial"/>
        </w:rPr>
        <w:t xml:space="preserve">Zastupitelstvo města Nejdek se na svém zasedání dne 2. září 2024 usnesením č. </w:t>
      </w:r>
      <w:r w:rsidR="00932B64">
        <w:rPr>
          <w:rFonts w:cs="Arial"/>
        </w:rPr>
        <w:t>ZM/339/10/2024</w:t>
      </w:r>
      <w:r w:rsidRPr="002C659B">
        <w:rPr>
          <w:rFonts w:cs="Arial"/>
        </w:rPr>
        <w:t xml:space="preserve"> usneslo vydat na základě § 6 odst. 4, § 11 odst. 5, § 12 odst. 1 písm. a)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:rsidR="005F4852" w:rsidRPr="00A2328E" w:rsidP="005F4852" w14:paraId="3440A28A" w14:textId="0417827C">
      <w:pPr>
        <w:jc w:val="center"/>
        <w:rPr>
          <w:b/>
          <w:sz w:val="28"/>
          <w:szCs w:val="28"/>
        </w:rPr>
      </w:pPr>
      <w:r w:rsidRPr="00A2328E">
        <w:rPr>
          <w:b/>
          <w:sz w:val="24"/>
          <w:szCs w:val="24"/>
        </w:rPr>
        <w:t>Čl. 1</w:t>
      </w:r>
      <w:r w:rsidRPr="00A2328E">
        <w:rPr>
          <w:b/>
          <w:sz w:val="24"/>
          <w:szCs w:val="24"/>
        </w:rPr>
        <w:br/>
      </w:r>
      <w:r w:rsidRPr="002C659B" w:rsidR="002C659B">
        <w:rPr>
          <w:b/>
          <w:sz w:val="28"/>
          <w:szCs w:val="28"/>
        </w:rPr>
        <w:t>Zvýšení koeficientu u skupiny stavebních pozemků</w:t>
      </w:r>
    </w:p>
    <w:p w:rsidR="002C659B" w:rsidRPr="00A2328E" w:rsidP="002C659B" w14:paraId="3DD7B5AE" w14:textId="7D28DCFB">
      <w:pPr>
        <w:pStyle w:val="ListParagraph"/>
        <w:numPr>
          <w:ilvl w:val="0"/>
          <w:numId w:val="49"/>
        </w:numPr>
        <w:contextualSpacing w:val="0"/>
        <w:jc w:val="both"/>
      </w:pPr>
      <w:bookmarkStart w:id="0" w:name="_Hlk172615484"/>
      <w:r w:rsidRPr="002C659B">
        <w:t>U pozemků zařazených do skupiny stavebních pozemků se koeficient, jímž se násobí sazba daně, zvyšuje o jednu kategorii podle členění koeficientů dle § 6 odst. 3 zákona o dani z nemovitých věcí, a to pro všechny tyto pozemky na území jednotlivého katastrálního území:</w:t>
      </w:r>
    </w:p>
    <w:p w:rsidR="002C659B" w:rsidP="002C659B" w14:paraId="3CDBDE76" w14:textId="77777777">
      <w:pPr>
        <w:pStyle w:val="ListParagraph"/>
        <w:numPr>
          <w:ilvl w:val="1"/>
          <w:numId w:val="49"/>
        </w:numPr>
        <w:ind w:left="714" w:hanging="357"/>
        <w:jc w:val="both"/>
      </w:pPr>
      <w:r w:rsidRPr="002C659B">
        <w:t>město Nejdek</w:t>
      </w:r>
      <w:r>
        <w:t xml:space="preserve">: </w:t>
      </w:r>
    </w:p>
    <w:p w:rsidR="002C659B" w:rsidRPr="00A2328E" w:rsidP="002C659B" w14:paraId="1761AF07" w14:textId="6056B905">
      <w:pPr>
        <w:pStyle w:val="ListParagraph"/>
        <w:contextualSpacing w:val="0"/>
        <w:jc w:val="both"/>
      </w:pPr>
      <w:r w:rsidRPr="002C659B">
        <w:t>katastrální území Nejdek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659B">
        <w:rPr>
          <w:b/>
          <w:bCs/>
        </w:rPr>
        <w:t>koeficient 2,0</w:t>
      </w:r>
    </w:p>
    <w:p w:rsidR="002C659B" w:rsidP="002C659B" w14:paraId="6BE8B9B1" w14:textId="77777777">
      <w:pPr>
        <w:pStyle w:val="ListParagraph"/>
        <w:numPr>
          <w:ilvl w:val="1"/>
          <w:numId w:val="49"/>
        </w:numPr>
        <w:jc w:val="both"/>
      </w:pPr>
      <w:r w:rsidRPr="002C659B">
        <w:t>části města Nejdek</w:t>
      </w:r>
      <w:r>
        <w:t>:</w:t>
      </w:r>
    </w:p>
    <w:p w:rsidR="002C659B" w:rsidP="002C659B" w14:paraId="16ED32D2" w14:textId="77777777">
      <w:pPr>
        <w:pStyle w:val="ListParagraph"/>
        <w:jc w:val="both"/>
      </w:pPr>
      <w:r>
        <w:t>katastrální území Bernov, Fojtov, Lesík, Lužec, Oldřichov, Pozorka, Suchá,</w:t>
      </w:r>
    </w:p>
    <w:p w:rsidR="002C659B" w:rsidRPr="00A2328E" w:rsidP="002C659B" w14:paraId="054C2EAA" w14:textId="65BCCC0E">
      <w:pPr>
        <w:pStyle w:val="ListParagraph"/>
        <w:jc w:val="both"/>
      </w:pPr>
      <w:r>
        <w:t>Tisová, Vysoká Štola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659B">
        <w:rPr>
          <w:b/>
          <w:bCs/>
        </w:rPr>
        <w:t>koeficient 1,6</w:t>
      </w:r>
    </w:p>
    <w:bookmarkEnd w:id="0"/>
    <w:p w:rsidR="005F4852" w:rsidRPr="00A2328E" w:rsidP="005F4852" w14:paraId="09370800" w14:textId="07EB62F3">
      <w:pPr>
        <w:jc w:val="center"/>
        <w:rPr>
          <w:b/>
          <w:sz w:val="28"/>
          <w:szCs w:val="28"/>
        </w:rPr>
      </w:pPr>
      <w:r w:rsidRPr="00A2328E">
        <w:rPr>
          <w:b/>
          <w:sz w:val="24"/>
          <w:szCs w:val="24"/>
        </w:rPr>
        <w:t>Čl. 2</w:t>
      </w:r>
      <w:r w:rsidRPr="00A2328E">
        <w:rPr>
          <w:b/>
          <w:sz w:val="24"/>
          <w:szCs w:val="24"/>
        </w:rPr>
        <w:br/>
      </w:r>
      <w:r w:rsidRPr="00F17737" w:rsidR="00F17737">
        <w:rPr>
          <w:b/>
          <w:sz w:val="28"/>
          <w:szCs w:val="28"/>
        </w:rPr>
        <w:t>Zvýšení koeficientu u vybraných skupin staveb a jednotek</w:t>
      </w:r>
    </w:p>
    <w:p w:rsidR="00F17737" w:rsidRPr="00A2328E" w:rsidP="00F17737" w14:paraId="7EB33A50" w14:textId="5D482B49">
      <w:pPr>
        <w:pStyle w:val="ListParagraph"/>
        <w:numPr>
          <w:ilvl w:val="0"/>
          <w:numId w:val="50"/>
        </w:numPr>
        <w:contextualSpacing w:val="0"/>
        <w:jc w:val="both"/>
      </w:pPr>
      <w:r w:rsidRPr="00F17737">
        <w:t xml:space="preserve">U zdanitelných staveb zařazených ve skupině obytných budov a u zdanitelných jednotek zařazených ve skupině ostatních zdanitelných jednotek se koeficient, jímž se násobí sazba daně, </w:t>
      </w:r>
      <w:r w:rsidRPr="00F17737">
        <w:t>zvyšuje o jednu kategorii podle členění koeficientů dle § 11 odst. 4 zákona o dani z nemovitých věcí, a to pro všechny tyto zdanitelné stavby a jednotky na území jednotlivého katastrálního území:</w:t>
      </w:r>
    </w:p>
    <w:p w:rsidR="00F17737" w:rsidP="00F17737" w14:paraId="3CD1029A" w14:textId="77777777">
      <w:pPr>
        <w:pStyle w:val="ListParagraph"/>
        <w:numPr>
          <w:ilvl w:val="1"/>
          <w:numId w:val="50"/>
        </w:numPr>
        <w:ind w:left="714" w:hanging="357"/>
        <w:jc w:val="both"/>
      </w:pPr>
      <w:r w:rsidRPr="002C659B">
        <w:t>město Nejdek</w:t>
      </w:r>
      <w:r>
        <w:t xml:space="preserve">: </w:t>
      </w:r>
    </w:p>
    <w:p w:rsidR="00F17737" w:rsidRPr="00A2328E" w:rsidP="00F17737" w14:paraId="395DAB62" w14:textId="77777777">
      <w:pPr>
        <w:pStyle w:val="ListParagraph"/>
        <w:contextualSpacing w:val="0"/>
        <w:jc w:val="both"/>
      </w:pPr>
      <w:r w:rsidRPr="002C659B">
        <w:t>katastrální území Nejdek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659B">
        <w:rPr>
          <w:b/>
          <w:bCs/>
        </w:rPr>
        <w:t>koeficient 2,0</w:t>
      </w:r>
    </w:p>
    <w:p w:rsidR="00F17737" w:rsidP="00F17737" w14:paraId="5984957C" w14:textId="77777777">
      <w:pPr>
        <w:pStyle w:val="ListParagraph"/>
        <w:numPr>
          <w:ilvl w:val="1"/>
          <w:numId w:val="50"/>
        </w:numPr>
        <w:jc w:val="both"/>
      </w:pPr>
      <w:r w:rsidRPr="002C659B">
        <w:t>části města Nejdek</w:t>
      </w:r>
      <w:r>
        <w:t>:</w:t>
      </w:r>
    </w:p>
    <w:p w:rsidR="00F17737" w:rsidP="00F17737" w14:paraId="4E678971" w14:textId="77777777">
      <w:pPr>
        <w:pStyle w:val="ListParagraph"/>
        <w:jc w:val="both"/>
      </w:pPr>
      <w:r>
        <w:t>katastrální území Bernov, Fojtov, Lesík, Lužec, Oldřichov, Pozorka, Suchá,</w:t>
      </w:r>
    </w:p>
    <w:p w:rsidR="00F17737" w:rsidRPr="00A2328E" w:rsidP="00F17737" w14:paraId="75109441" w14:textId="77777777">
      <w:pPr>
        <w:pStyle w:val="ListParagraph"/>
        <w:jc w:val="both"/>
      </w:pPr>
      <w:r>
        <w:t>Tisová, Vysoká Štola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659B">
        <w:rPr>
          <w:b/>
          <w:bCs/>
        </w:rPr>
        <w:t>koeficient 1,6</w:t>
      </w:r>
    </w:p>
    <w:p w:rsidR="005F4852" w:rsidRPr="00A2328E" w:rsidP="005F4852" w14:paraId="2609AD64" w14:textId="6B51F1CE">
      <w:pPr>
        <w:jc w:val="center"/>
        <w:rPr>
          <w:b/>
          <w:sz w:val="28"/>
          <w:szCs w:val="28"/>
        </w:rPr>
      </w:pPr>
      <w:bookmarkStart w:id="1" w:name="_Hlk172615682"/>
      <w:r w:rsidRPr="00A2328E">
        <w:rPr>
          <w:b/>
          <w:sz w:val="24"/>
          <w:szCs w:val="24"/>
        </w:rPr>
        <w:t>Čl. 3</w:t>
      </w:r>
      <w:r w:rsidRPr="00A2328E">
        <w:rPr>
          <w:b/>
          <w:sz w:val="24"/>
          <w:szCs w:val="24"/>
        </w:rPr>
        <w:br/>
      </w:r>
      <w:r w:rsidRPr="00456DCF" w:rsidR="00456DCF">
        <w:rPr>
          <w:b/>
          <w:sz w:val="28"/>
          <w:szCs w:val="28"/>
        </w:rPr>
        <w:t>Místní koeficient pro město</w:t>
      </w:r>
    </w:p>
    <w:p w:rsidR="005F4852" w:rsidP="00456DCF" w14:paraId="5C4DA161" w14:textId="62A1B632">
      <w:pPr>
        <w:pStyle w:val="ListParagraph"/>
        <w:numPr>
          <w:ilvl w:val="0"/>
          <w:numId w:val="51"/>
        </w:numPr>
        <w:contextualSpacing w:val="0"/>
        <w:jc w:val="both"/>
      </w:pPr>
      <w:r w:rsidRPr="00456DCF">
        <w:t xml:space="preserve">Město stanovuje místní </w:t>
      </w:r>
      <w:r w:rsidRPr="00456DCF">
        <w:rPr>
          <w:b/>
          <w:bCs/>
        </w:rPr>
        <w:t>koeficient</w:t>
      </w:r>
      <w:r w:rsidRPr="00456DCF">
        <w:t xml:space="preserve"> pro město ve výši </w:t>
      </w:r>
      <w:r w:rsidRPr="00456DCF">
        <w:rPr>
          <w:b/>
          <w:bCs/>
        </w:rPr>
        <w:t>2</w:t>
      </w:r>
      <w:r w:rsidRPr="00456DCF">
        <w:t>. Tento místní koeficient se vztahuje na všechny nemovité věci na území celého města s výjimkou pozemků zařazených do skupiny vybraných zemědělských pozemků, trvalých travních porostů nebo nevyužitelných ostatních ploch.</w:t>
      </w:r>
      <w:r>
        <w:rPr>
          <w:rStyle w:val="FootnoteReference"/>
        </w:rPr>
        <w:footnoteReference w:id="2"/>
      </w:r>
    </w:p>
    <w:p w:rsidR="00456DCF" w:rsidP="00456DCF" w14:paraId="50CF87D1" w14:textId="63B5F313">
      <w:pPr>
        <w:pStyle w:val="ListParagraph"/>
        <w:numPr>
          <w:ilvl w:val="0"/>
          <w:numId w:val="51"/>
        </w:numPr>
        <w:contextualSpacing w:val="0"/>
        <w:jc w:val="both"/>
      </w:pPr>
      <w:r w:rsidRPr="00456DCF">
        <w:t>Pokud se na nemovitou věc vztahuje vedle místního koeficientu pro město také jiný místní koeficient, místní koeficient pro město se na ni nepoužije.</w:t>
      </w:r>
      <w:bookmarkEnd w:id="1"/>
      <w:r>
        <w:rPr>
          <w:rStyle w:val="FootnoteReference"/>
        </w:rPr>
        <w:footnoteReference w:id="3"/>
      </w:r>
    </w:p>
    <w:p w:rsidR="00456DCF" w:rsidRPr="00A2328E" w:rsidP="00456DCF" w14:paraId="5C1B5760" w14:textId="308953DB">
      <w:pPr>
        <w:jc w:val="center"/>
        <w:rPr>
          <w:b/>
          <w:sz w:val="28"/>
          <w:szCs w:val="28"/>
        </w:rPr>
      </w:pPr>
      <w:r w:rsidRPr="00A2328E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4</w:t>
      </w:r>
      <w:r w:rsidRPr="00A2328E">
        <w:rPr>
          <w:b/>
          <w:sz w:val="24"/>
          <w:szCs w:val="24"/>
        </w:rPr>
        <w:br/>
      </w:r>
      <w:r w:rsidRPr="00456DCF">
        <w:rPr>
          <w:b/>
          <w:sz w:val="28"/>
          <w:szCs w:val="28"/>
        </w:rPr>
        <w:t>Místní koeficient pro jednotlivé skupiny nemovitých věcí</w:t>
      </w:r>
    </w:p>
    <w:p w:rsidR="00456DCF" w:rsidRPr="00A2328E" w:rsidP="00456DCF" w14:paraId="1FF3D7F1" w14:textId="7726AED9">
      <w:pPr>
        <w:pStyle w:val="ListParagraph"/>
        <w:numPr>
          <w:ilvl w:val="0"/>
          <w:numId w:val="52"/>
        </w:numPr>
        <w:contextualSpacing w:val="0"/>
        <w:jc w:val="both"/>
      </w:pPr>
      <w:r w:rsidRPr="00456DCF">
        <w:t>Město Nejdek stanovuje místní koeficient pro jednotlivé skupiny staveb a jednotek podle § 10a odst. 1 zákona o dani z nemovitých věcí, a to v následující výši:</w:t>
      </w:r>
    </w:p>
    <w:p w:rsidR="00456DCF" w:rsidRPr="00A2328E" w:rsidP="00456DCF" w14:paraId="68AFF8C3" w14:textId="5B37D329">
      <w:pPr>
        <w:pStyle w:val="ListParagraph"/>
        <w:numPr>
          <w:ilvl w:val="1"/>
          <w:numId w:val="52"/>
        </w:numPr>
        <w:contextualSpacing w:val="0"/>
        <w:jc w:val="both"/>
      </w:pPr>
      <w:r w:rsidRPr="00456DCF">
        <w:t>rekreační budovy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6DCF">
        <w:rPr>
          <w:b/>
          <w:bCs/>
        </w:rPr>
        <w:t>koeficient 4,0</w:t>
      </w:r>
    </w:p>
    <w:p w:rsidR="00456DCF" w:rsidRPr="00A2328E" w:rsidP="00456DCF" w14:paraId="41E7443B" w14:textId="30D320D3">
      <w:pPr>
        <w:pStyle w:val="ListParagraph"/>
        <w:numPr>
          <w:ilvl w:val="1"/>
          <w:numId w:val="52"/>
        </w:numPr>
        <w:contextualSpacing w:val="0"/>
        <w:jc w:val="both"/>
      </w:pPr>
      <w:r>
        <w:t>garáže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6DCF">
        <w:rPr>
          <w:b/>
          <w:bCs/>
        </w:rPr>
        <w:t>koeficient 3,0</w:t>
      </w:r>
    </w:p>
    <w:p w:rsidR="00456DCF" w:rsidP="00456DCF" w14:paraId="16627B9B" w14:textId="5D087457">
      <w:pPr>
        <w:pStyle w:val="ListParagraph"/>
        <w:numPr>
          <w:ilvl w:val="1"/>
          <w:numId w:val="52"/>
        </w:numPr>
        <w:jc w:val="both"/>
      </w:pPr>
      <w:r>
        <w:t>zdanitelné stavby a zdanitelné jednotky pro podnikání v zemědělské</w:t>
      </w:r>
    </w:p>
    <w:p w:rsidR="00456DCF" w:rsidRPr="00A2328E" w:rsidP="00456DCF" w14:paraId="60315AC8" w14:textId="0FAC0B87">
      <w:pPr>
        <w:pStyle w:val="ListParagraph"/>
        <w:contextualSpacing w:val="0"/>
        <w:jc w:val="both"/>
      </w:pPr>
      <w:r>
        <w:t>prvovýrobě, lesním nebo vodním hospodářství</w:t>
      </w:r>
      <w:r>
        <w:tab/>
      </w:r>
      <w:r>
        <w:tab/>
      </w:r>
      <w:r>
        <w:tab/>
      </w:r>
      <w:r>
        <w:tab/>
      </w:r>
      <w:r>
        <w:tab/>
      </w:r>
      <w:r w:rsidRPr="00456DCF">
        <w:rPr>
          <w:b/>
          <w:bCs/>
        </w:rPr>
        <w:t>koeficient 3,0</w:t>
      </w:r>
    </w:p>
    <w:p w:rsidR="00456DCF" w:rsidP="00456DCF" w14:paraId="27CA4D51" w14:textId="77777777">
      <w:pPr>
        <w:pStyle w:val="ListParagraph"/>
        <w:numPr>
          <w:ilvl w:val="1"/>
          <w:numId w:val="52"/>
        </w:numPr>
        <w:jc w:val="both"/>
      </w:pPr>
      <w:r>
        <w:t>zdanitelné stavby a zdanitelné jednotky pro podnikání v průmyslu,</w:t>
      </w:r>
    </w:p>
    <w:p w:rsidR="00456DCF" w:rsidRPr="00A2328E" w:rsidP="00456DCF" w14:paraId="60749235" w14:textId="5C2A4399">
      <w:pPr>
        <w:pStyle w:val="ListParagraph"/>
        <w:contextualSpacing w:val="0"/>
        <w:jc w:val="both"/>
      </w:pPr>
      <w:r>
        <w:t>stavebnictví, dopravě, energetice nebo ostatní zemědělské výrobě</w:t>
      </w:r>
      <w:r>
        <w:tab/>
      </w:r>
      <w:r>
        <w:tab/>
      </w:r>
      <w:r w:rsidRPr="00456DCF">
        <w:rPr>
          <w:b/>
          <w:bCs/>
        </w:rPr>
        <w:t>koeficient 3,0</w:t>
      </w:r>
    </w:p>
    <w:p w:rsidR="00456DCF" w:rsidP="003036CC" w14:paraId="7249D2EA" w14:textId="473FC6C5">
      <w:pPr>
        <w:pStyle w:val="ListParagraph"/>
        <w:numPr>
          <w:ilvl w:val="1"/>
          <w:numId w:val="52"/>
        </w:numPr>
        <w:ind w:left="714" w:hanging="357"/>
        <w:contextualSpacing w:val="0"/>
        <w:jc w:val="both"/>
      </w:pPr>
      <w:r>
        <w:t>zdanitelné stavby a zdanitelné jednotky pro ostatní druhy podnikání</w:t>
      </w:r>
      <w:r w:rsidR="003036CC">
        <w:tab/>
      </w:r>
      <w:r w:rsidR="003036CC">
        <w:tab/>
      </w:r>
      <w:r w:rsidRPr="003036CC" w:rsidR="003036CC">
        <w:rPr>
          <w:b/>
          <w:bCs/>
        </w:rPr>
        <w:t>koeficient 3,0</w:t>
      </w:r>
    </w:p>
    <w:p w:rsidR="003036CC" w:rsidP="003036CC" w14:paraId="6B20D256" w14:textId="50F3F21F">
      <w:pPr>
        <w:pStyle w:val="ListParagraph"/>
        <w:numPr>
          <w:ilvl w:val="1"/>
          <w:numId w:val="52"/>
        </w:numPr>
        <w:ind w:left="714" w:hanging="357"/>
        <w:contextualSpacing w:val="0"/>
        <w:jc w:val="both"/>
      </w:pPr>
      <w:r w:rsidRPr="003036CC">
        <w:t>ostatní zdanitelné stavby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36CC">
        <w:rPr>
          <w:b/>
          <w:bCs/>
        </w:rPr>
        <w:t>koeficient 3,0</w:t>
      </w:r>
    </w:p>
    <w:p w:rsidR="003036CC" w:rsidP="003036CC" w14:paraId="444DDF99" w14:textId="64E07B32">
      <w:pPr>
        <w:pStyle w:val="ListParagraph"/>
        <w:numPr>
          <w:ilvl w:val="1"/>
          <w:numId w:val="52"/>
        </w:numPr>
        <w:ind w:left="714" w:hanging="357"/>
        <w:contextualSpacing w:val="0"/>
        <w:jc w:val="both"/>
      </w:pPr>
      <w:r w:rsidRPr="003036CC">
        <w:t xml:space="preserve">ostatní zdanitelné </w:t>
      </w:r>
      <w:r>
        <w:t>jednotky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36CC">
        <w:rPr>
          <w:b/>
          <w:bCs/>
        </w:rPr>
        <w:t>koeficient 3,0</w:t>
      </w:r>
    </w:p>
    <w:p w:rsidR="00456DCF" w:rsidRPr="00FE40ED" w:rsidP="003036CC" w14:paraId="7319D624" w14:textId="69793EFA">
      <w:pPr>
        <w:pStyle w:val="ListParagraph"/>
        <w:numPr>
          <w:ilvl w:val="0"/>
          <w:numId w:val="52"/>
        </w:numPr>
        <w:contextualSpacing w:val="0"/>
        <w:jc w:val="both"/>
      </w:pPr>
      <w:r w:rsidRPr="003036CC">
        <w:t>Místní koeficient pro jednotlivou skupinu nemovitých věcí se vztahuje na všechny nemovité věci dané skupiny nemovitých věcí na území celého města Nejdku.</w:t>
      </w:r>
      <w:r>
        <w:tab/>
      </w:r>
      <w:r>
        <w:tab/>
      </w:r>
    </w:p>
    <w:p w:rsidR="005F4852" w:rsidRPr="001236A7" w:rsidP="005F4852" w14:paraId="1AC50D9B" w14:textId="2DF77BDA">
      <w:pPr>
        <w:jc w:val="center"/>
        <w:rPr>
          <w:b/>
          <w:sz w:val="28"/>
          <w:szCs w:val="28"/>
        </w:rPr>
      </w:pPr>
      <w:r w:rsidRPr="00743C83">
        <w:rPr>
          <w:b/>
          <w:sz w:val="24"/>
          <w:szCs w:val="24"/>
        </w:rPr>
        <w:t xml:space="preserve">Čl. </w:t>
      </w:r>
      <w:r w:rsidR="003036CC">
        <w:rPr>
          <w:b/>
          <w:sz w:val="24"/>
          <w:szCs w:val="24"/>
        </w:rPr>
        <w:t>5</w:t>
      </w:r>
      <w:r w:rsidRPr="00743C83">
        <w:rPr>
          <w:b/>
          <w:sz w:val="24"/>
          <w:szCs w:val="24"/>
        </w:rPr>
        <w:br/>
      </w:r>
      <w:r w:rsidRPr="001236A7">
        <w:rPr>
          <w:b/>
          <w:sz w:val="28"/>
          <w:szCs w:val="28"/>
        </w:rPr>
        <w:t>Zrušující ustanovení</w:t>
      </w:r>
    </w:p>
    <w:p w:rsidR="005F4852" w:rsidRPr="001236A7" w:rsidP="005F4852" w14:paraId="14A7AA16" w14:textId="42420992">
      <w:pPr>
        <w:jc w:val="both"/>
      </w:pPr>
      <w:r w:rsidRPr="001236A7">
        <w:t xml:space="preserve">Touto vyhláškou se zrušuje obecně závazná vyhláška č. </w:t>
      </w:r>
      <w:r w:rsidR="003036CC">
        <w:t>1</w:t>
      </w:r>
      <w:r w:rsidRPr="001236A7">
        <w:t>/20</w:t>
      </w:r>
      <w:r w:rsidR="003036CC">
        <w:t>09</w:t>
      </w:r>
      <w:r w:rsidRPr="001236A7">
        <w:t xml:space="preserve">, o </w:t>
      </w:r>
      <w:r w:rsidRPr="003036CC" w:rsidR="003036CC">
        <w:t>stanovení koeficientů pro výpočet daně z nemovitostí</w:t>
      </w:r>
      <w:r w:rsidRPr="001236A7">
        <w:t xml:space="preserve">, ze dne </w:t>
      </w:r>
      <w:r w:rsidR="003036CC">
        <w:t>4</w:t>
      </w:r>
      <w:r w:rsidRPr="001236A7">
        <w:t>.</w:t>
      </w:r>
      <w:r w:rsidR="003036CC">
        <w:t>6</w:t>
      </w:r>
      <w:r w:rsidRPr="001236A7">
        <w:t>.20</w:t>
      </w:r>
      <w:r w:rsidR="003036CC">
        <w:t>09</w:t>
      </w:r>
      <w:r w:rsidRPr="001236A7">
        <w:t>.</w:t>
      </w:r>
    </w:p>
    <w:p w:rsidR="005F4852" w:rsidRPr="001236A7" w:rsidP="005F4852" w14:paraId="7F34B8FF" w14:textId="77777777">
      <w:pPr>
        <w:jc w:val="center"/>
        <w:rPr>
          <w:b/>
          <w:sz w:val="28"/>
          <w:szCs w:val="28"/>
        </w:rPr>
      </w:pPr>
      <w:r w:rsidRPr="001236A7">
        <w:rPr>
          <w:b/>
          <w:sz w:val="24"/>
          <w:szCs w:val="24"/>
        </w:rPr>
        <w:t>Čl. 5</w:t>
      </w:r>
      <w:r w:rsidRPr="001236A7">
        <w:rPr>
          <w:b/>
          <w:sz w:val="24"/>
          <w:szCs w:val="24"/>
        </w:rPr>
        <w:br/>
      </w:r>
      <w:r w:rsidRPr="001236A7">
        <w:rPr>
          <w:b/>
          <w:sz w:val="28"/>
          <w:szCs w:val="28"/>
        </w:rPr>
        <w:t>Účinnost</w:t>
      </w:r>
    </w:p>
    <w:p w:rsidR="005F4852" w:rsidRPr="001236A7" w:rsidP="005F4852" w14:paraId="24AA18E2" w14:textId="2076B186">
      <w:pPr>
        <w:jc w:val="center"/>
      </w:pPr>
      <w:r w:rsidRPr="001236A7">
        <w:t xml:space="preserve">Tato </w:t>
      </w:r>
      <w:r w:rsidRPr="001236A7" w:rsidR="009E6E7B">
        <w:t xml:space="preserve">obecně závazná </w:t>
      </w:r>
      <w:r w:rsidRPr="001236A7">
        <w:t xml:space="preserve">vyhláška nabývá účinnosti </w:t>
      </w:r>
      <w:r w:rsidR="003036CC">
        <w:t>dnem 1.1.2025</w:t>
      </w:r>
      <w:r w:rsidRPr="001236A7">
        <w:t>.</w:t>
      </w:r>
    </w:p>
    <w:p w:rsidR="00D46287" w:rsidRPr="001236A7" w:rsidP="0075697A" w14:paraId="0D45FCF3" w14:textId="77777777"/>
    <w:p w:rsidR="00D46287" w:rsidRPr="001236A7" w:rsidP="0075697A" w14:paraId="5105A2A2" w14:textId="77777777"/>
    <w:p w:rsidR="00D46287" w:rsidRPr="001236A7" w:rsidP="0075697A" w14:paraId="603D0F12" w14:textId="77777777"/>
    <w:p w:rsidR="0000657F" w:rsidRPr="001236A7" w:rsidP="0075697A" w14:paraId="217806CC" w14:textId="77777777">
      <w:r w:rsidRPr="001236A7">
        <w:t>………………………………</w:t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  <w:t>………………………………</w:t>
      </w:r>
      <w:r w:rsidRPr="001236A7">
        <w:br/>
      </w:r>
      <w:r w:rsidRPr="001236A7" w:rsidR="00A77C1C">
        <w:t xml:space="preserve">Pavlína Schwarzová </w:t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 w:rsidR="00A77C1C">
        <w:t>Ludmila Vocelková</w:t>
      </w:r>
      <w:r w:rsidRPr="001236A7">
        <w:br/>
        <w:t>místostarost</w:t>
      </w:r>
      <w:r w:rsidRPr="001236A7" w:rsidR="00A77C1C">
        <w:t>k</w:t>
      </w:r>
      <w:r w:rsidRPr="001236A7">
        <w:t>a</w:t>
      </w:r>
      <w:r w:rsidRPr="001236A7" w:rsidR="00A77C1C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</w:r>
      <w:r w:rsidRPr="001236A7">
        <w:tab/>
        <w:t>starost</w:t>
      </w:r>
      <w:r w:rsidRPr="001236A7" w:rsidR="00A77C1C">
        <w:t>ka</w:t>
      </w:r>
    </w:p>
    <w:p w:rsidR="00D46287" w:rsidRPr="00C019A9" w:rsidP="0075697A" w14:paraId="14A9911C" w14:textId="77777777">
      <w:pPr>
        <w:rPr>
          <w:color w:val="FF0000"/>
        </w:rPr>
      </w:pPr>
    </w:p>
    <w:p w:rsidR="00D46287" w:rsidRPr="000734BF" w:rsidP="0075697A" w14:paraId="4830A036" w14:textId="77777777"/>
    <w:p w:rsidR="00D46287" w:rsidRPr="000734BF" w:rsidP="0075697A" w14:paraId="0C7F0492" w14:textId="77777777"/>
    <w:sectPr w:rsidSect="00C73597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606890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93006" w:rsidRPr="004C247D" w14:paraId="0ED315B7" w14:textId="77777777">
        <w:pPr>
          <w:pStyle w:val="Footer"/>
          <w:jc w:val="center"/>
          <w:rPr>
            <w:sz w:val="20"/>
            <w:szCs w:val="20"/>
          </w:rPr>
        </w:pPr>
        <w:r w:rsidRPr="004C247D">
          <w:rPr>
            <w:sz w:val="20"/>
            <w:szCs w:val="20"/>
          </w:rPr>
          <w:fldChar w:fldCharType="begin"/>
        </w:r>
        <w:r w:rsidRPr="004C247D">
          <w:rPr>
            <w:sz w:val="20"/>
            <w:szCs w:val="20"/>
          </w:rPr>
          <w:instrText>PAGE   \* MERGEFORMAT</w:instrText>
        </w:r>
        <w:r w:rsidRPr="004C247D">
          <w:rPr>
            <w:sz w:val="20"/>
            <w:szCs w:val="20"/>
          </w:rPr>
          <w:fldChar w:fldCharType="separate"/>
        </w:r>
        <w:r w:rsidR="00212B64">
          <w:rPr>
            <w:noProof/>
            <w:sz w:val="20"/>
            <w:szCs w:val="20"/>
          </w:rPr>
          <w:t>3</w:t>
        </w:r>
        <w:r w:rsidRPr="004C247D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90116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93006" w:rsidRPr="004C247D" w14:paraId="16473E64" w14:textId="77777777">
        <w:pPr>
          <w:pStyle w:val="Footer"/>
          <w:jc w:val="center"/>
          <w:rPr>
            <w:sz w:val="20"/>
            <w:szCs w:val="20"/>
          </w:rPr>
        </w:pPr>
        <w:r w:rsidRPr="004C247D">
          <w:rPr>
            <w:sz w:val="20"/>
            <w:szCs w:val="20"/>
          </w:rPr>
          <w:fldChar w:fldCharType="begin"/>
        </w:r>
        <w:r w:rsidRPr="004C247D">
          <w:rPr>
            <w:sz w:val="20"/>
            <w:szCs w:val="20"/>
          </w:rPr>
          <w:instrText>PAGE   \* MERGEFORMAT</w:instrText>
        </w:r>
        <w:r w:rsidRPr="004C247D">
          <w:rPr>
            <w:sz w:val="20"/>
            <w:szCs w:val="20"/>
          </w:rPr>
          <w:fldChar w:fldCharType="separate"/>
        </w:r>
        <w:r w:rsidR="00212B64">
          <w:rPr>
            <w:noProof/>
            <w:sz w:val="20"/>
            <w:szCs w:val="20"/>
          </w:rPr>
          <w:t>1</w:t>
        </w:r>
        <w:r w:rsidRPr="004C247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A2782" w:rsidP="00103DFA" w14:paraId="6312BBA0" w14:textId="77777777">
      <w:pPr>
        <w:spacing w:after="0" w:line="240" w:lineRule="auto"/>
      </w:pPr>
      <w:r>
        <w:separator/>
      </w:r>
    </w:p>
  </w:footnote>
  <w:footnote w:type="continuationSeparator" w:id="1">
    <w:p w:rsidR="007A2782" w:rsidP="00103DFA" w14:paraId="167C57CC" w14:textId="77777777">
      <w:pPr>
        <w:spacing w:after="0" w:line="240" w:lineRule="auto"/>
      </w:pPr>
      <w:r>
        <w:continuationSeparator/>
      </w:r>
    </w:p>
  </w:footnote>
  <w:footnote w:id="2">
    <w:p w:rsidR="00456DCF" w14:paraId="44FB38A2" w14:textId="74B876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56DCF">
        <w:t>§ 12ab odst. 1 a 6 zákona o dani z nemovitých věcí</w:t>
      </w:r>
    </w:p>
  </w:footnote>
  <w:footnote w:id="3">
    <w:p w:rsidR="00456DCF" w14:paraId="563B0F9F" w14:textId="4D943620">
      <w:pPr>
        <w:pStyle w:val="FootnoteText"/>
      </w:pPr>
      <w:r>
        <w:rPr>
          <w:rStyle w:val="FootnoteReference"/>
        </w:rPr>
        <w:footnoteRef/>
      </w:r>
      <w:r>
        <w:t xml:space="preserve"> §</w:t>
      </w:r>
      <w:r w:rsidRPr="00456DCF">
        <w:t>12 odst. 5 zákona o dani z 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72194"/>
    <w:multiLevelType w:val="multilevel"/>
    <w:tmpl w:val="386AA9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1DA492C"/>
    <w:multiLevelType w:val="multilevel"/>
    <w:tmpl w:val="50648B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1F532B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2B92EE2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9E715C6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B5623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AB41FB7"/>
    <w:multiLevelType w:val="multilevel"/>
    <w:tmpl w:val="EA6018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02F6B4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0D832DD"/>
    <w:multiLevelType w:val="multilevel"/>
    <w:tmpl w:val="D9345C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1D93960"/>
    <w:multiLevelType w:val="multilevel"/>
    <w:tmpl w:val="3312BD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227788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2361AAD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59A2DFE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74363C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82661AD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9D80DAC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F10272A"/>
    <w:multiLevelType w:val="multilevel"/>
    <w:tmpl w:val="1AF0A9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5AF41AF"/>
    <w:multiLevelType w:val="multilevel"/>
    <w:tmpl w:val="1AAA71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5E130EF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A977B8C"/>
    <w:multiLevelType w:val="multilevel"/>
    <w:tmpl w:val="38020E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D052B11"/>
    <w:multiLevelType w:val="multilevel"/>
    <w:tmpl w:val="17FA4E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5E50B6"/>
    <w:multiLevelType w:val="multilevel"/>
    <w:tmpl w:val="CB54E0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5021526"/>
    <w:multiLevelType w:val="multilevel"/>
    <w:tmpl w:val="AA8669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6141EBF"/>
    <w:multiLevelType w:val="multilevel"/>
    <w:tmpl w:val="DF00AC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82E5863"/>
    <w:multiLevelType w:val="multilevel"/>
    <w:tmpl w:val="F25A23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A9D3C6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DFE3E86"/>
    <w:multiLevelType w:val="multilevel"/>
    <w:tmpl w:val="02E8FA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EFC5CBD"/>
    <w:multiLevelType w:val="multilevel"/>
    <w:tmpl w:val="5CBC06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0395740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0D129A7"/>
    <w:multiLevelType w:val="multilevel"/>
    <w:tmpl w:val="507C0B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44514FC"/>
    <w:multiLevelType w:val="multilevel"/>
    <w:tmpl w:val="CDDC1F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4B20563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5E02CFA"/>
    <w:multiLevelType w:val="multilevel"/>
    <w:tmpl w:val="AD2271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7094806"/>
    <w:multiLevelType w:val="multilevel"/>
    <w:tmpl w:val="C150B3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A2D447F"/>
    <w:multiLevelType w:val="multilevel"/>
    <w:tmpl w:val="79146F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B923BF1"/>
    <w:multiLevelType w:val="multilevel"/>
    <w:tmpl w:val="B066C3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BF7631A"/>
    <w:multiLevelType w:val="multilevel"/>
    <w:tmpl w:val="2496FC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5D303762"/>
    <w:multiLevelType w:val="multilevel"/>
    <w:tmpl w:val="3FF895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5D5E3785"/>
    <w:multiLevelType w:val="multilevel"/>
    <w:tmpl w:val="96A499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031150A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632D791D"/>
    <w:multiLevelType w:val="multilevel"/>
    <w:tmpl w:val="3AFE94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65595B89"/>
    <w:multiLevelType w:val="multilevel"/>
    <w:tmpl w:val="A0DECF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6B764A5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6BD93E7C"/>
    <w:multiLevelType w:val="multilevel"/>
    <w:tmpl w:val="E85A75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6DB4530A"/>
    <w:multiLevelType w:val="multilevel"/>
    <w:tmpl w:val="3CE47B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12C6783"/>
    <w:multiLevelType w:val="multilevel"/>
    <w:tmpl w:val="734C90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75C55427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>
    <w:nsid w:val="769F7BA4"/>
    <w:multiLevelType w:val="multilevel"/>
    <w:tmpl w:val="538225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>
    <w:nsid w:val="77A83B0E"/>
    <w:multiLevelType w:val="multilevel"/>
    <w:tmpl w:val="144E75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>
    <w:nsid w:val="7CDC47F4"/>
    <w:multiLevelType w:val="multilevel"/>
    <w:tmpl w:val="A34E86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>
    <w:nsid w:val="7CE35D1C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7D1B3D79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4"/>
  </w:num>
  <w:num w:numId="5">
    <w:abstractNumId w:val="8"/>
  </w:num>
  <w:num w:numId="6">
    <w:abstractNumId w:val="20"/>
  </w:num>
  <w:num w:numId="7">
    <w:abstractNumId w:val="30"/>
  </w:num>
  <w:num w:numId="8">
    <w:abstractNumId w:val="11"/>
  </w:num>
  <w:num w:numId="9">
    <w:abstractNumId w:val="51"/>
  </w:num>
  <w:num w:numId="10">
    <w:abstractNumId w:val="2"/>
  </w:num>
  <w:num w:numId="11">
    <w:abstractNumId w:val="7"/>
  </w:num>
  <w:num w:numId="12">
    <w:abstractNumId w:val="18"/>
  </w:num>
  <w:num w:numId="13">
    <w:abstractNumId w:val="14"/>
  </w:num>
  <w:num w:numId="14">
    <w:abstractNumId w:val="4"/>
  </w:num>
  <w:num w:numId="15">
    <w:abstractNumId w:val="50"/>
  </w:num>
  <w:num w:numId="16">
    <w:abstractNumId w:val="12"/>
  </w:num>
  <w:num w:numId="17">
    <w:abstractNumId w:val="13"/>
  </w:num>
  <w:num w:numId="18">
    <w:abstractNumId w:val="46"/>
  </w:num>
  <w:num w:numId="19">
    <w:abstractNumId w:val="25"/>
  </w:num>
  <w:num w:numId="20">
    <w:abstractNumId w:val="42"/>
  </w:num>
  <w:num w:numId="21">
    <w:abstractNumId w:val="15"/>
  </w:num>
  <w:num w:numId="22">
    <w:abstractNumId w:val="3"/>
  </w:num>
  <w:num w:numId="23">
    <w:abstractNumId w:val="36"/>
  </w:num>
  <w:num w:numId="24">
    <w:abstractNumId w:val="33"/>
  </w:num>
  <w:num w:numId="25">
    <w:abstractNumId w:val="43"/>
  </w:num>
  <w:num w:numId="26">
    <w:abstractNumId w:val="26"/>
  </w:num>
  <w:num w:numId="27">
    <w:abstractNumId w:val="19"/>
  </w:num>
  <w:num w:numId="28">
    <w:abstractNumId w:val="6"/>
  </w:num>
  <w:num w:numId="29">
    <w:abstractNumId w:val="49"/>
  </w:num>
  <w:num w:numId="30">
    <w:abstractNumId w:val="27"/>
  </w:num>
  <w:num w:numId="31">
    <w:abstractNumId w:val="41"/>
  </w:num>
  <w:num w:numId="32">
    <w:abstractNumId w:val="16"/>
  </w:num>
  <w:num w:numId="33">
    <w:abstractNumId w:val="22"/>
  </w:num>
  <w:num w:numId="34">
    <w:abstractNumId w:val="32"/>
  </w:num>
  <w:num w:numId="35">
    <w:abstractNumId w:val="39"/>
  </w:num>
  <w:num w:numId="36">
    <w:abstractNumId w:val="31"/>
  </w:num>
  <w:num w:numId="37">
    <w:abstractNumId w:val="28"/>
  </w:num>
  <w:num w:numId="38">
    <w:abstractNumId w:val="34"/>
  </w:num>
  <w:num w:numId="39">
    <w:abstractNumId w:val="38"/>
  </w:num>
  <w:num w:numId="40">
    <w:abstractNumId w:val="40"/>
  </w:num>
  <w:num w:numId="41">
    <w:abstractNumId w:val="1"/>
  </w:num>
  <w:num w:numId="42">
    <w:abstractNumId w:val="35"/>
  </w:num>
  <w:num w:numId="43">
    <w:abstractNumId w:val="24"/>
  </w:num>
  <w:num w:numId="44">
    <w:abstractNumId w:val="45"/>
  </w:num>
  <w:num w:numId="45">
    <w:abstractNumId w:val="29"/>
  </w:num>
  <w:num w:numId="46">
    <w:abstractNumId w:val="21"/>
  </w:num>
  <w:num w:numId="47">
    <w:abstractNumId w:val="48"/>
  </w:num>
  <w:num w:numId="48">
    <w:abstractNumId w:val="23"/>
  </w:num>
  <w:num w:numId="49">
    <w:abstractNumId w:val="9"/>
  </w:num>
  <w:num w:numId="50">
    <w:abstractNumId w:val="47"/>
  </w:num>
  <w:num w:numId="51">
    <w:abstractNumId w:val="37"/>
  </w:num>
  <w:num w:numId="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FA"/>
    <w:rsid w:val="00003292"/>
    <w:rsid w:val="0000657F"/>
    <w:rsid w:val="00016B94"/>
    <w:rsid w:val="00027CF8"/>
    <w:rsid w:val="00040231"/>
    <w:rsid w:val="00052048"/>
    <w:rsid w:val="000734BF"/>
    <w:rsid w:val="00080C07"/>
    <w:rsid w:val="0008703C"/>
    <w:rsid w:val="00087B59"/>
    <w:rsid w:val="000A0E98"/>
    <w:rsid w:val="000A2ED6"/>
    <w:rsid w:val="000B1C22"/>
    <w:rsid w:val="000C1F18"/>
    <w:rsid w:val="000D7EBC"/>
    <w:rsid w:val="000F0DC6"/>
    <w:rsid w:val="000F4829"/>
    <w:rsid w:val="000F7C96"/>
    <w:rsid w:val="001023F3"/>
    <w:rsid w:val="00103DFA"/>
    <w:rsid w:val="001236A7"/>
    <w:rsid w:val="00125C85"/>
    <w:rsid w:val="00127DC9"/>
    <w:rsid w:val="00137D18"/>
    <w:rsid w:val="00144728"/>
    <w:rsid w:val="00147B14"/>
    <w:rsid w:val="00152A0D"/>
    <w:rsid w:val="00171E3F"/>
    <w:rsid w:val="00191F32"/>
    <w:rsid w:val="00192757"/>
    <w:rsid w:val="00193023"/>
    <w:rsid w:val="00196C39"/>
    <w:rsid w:val="001A2AD4"/>
    <w:rsid w:val="001B1551"/>
    <w:rsid w:val="001B1F73"/>
    <w:rsid w:val="001E066D"/>
    <w:rsid w:val="001F2F6B"/>
    <w:rsid w:val="002023B5"/>
    <w:rsid w:val="00212B64"/>
    <w:rsid w:val="002376A0"/>
    <w:rsid w:val="00237782"/>
    <w:rsid w:val="00252531"/>
    <w:rsid w:val="00257161"/>
    <w:rsid w:val="002724A0"/>
    <w:rsid w:val="002B08C1"/>
    <w:rsid w:val="002B5BD1"/>
    <w:rsid w:val="002B7A08"/>
    <w:rsid w:val="002B7C91"/>
    <w:rsid w:val="002C4A9A"/>
    <w:rsid w:val="002C659B"/>
    <w:rsid w:val="002D42BF"/>
    <w:rsid w:val="002E01CF"/>
    <w:rsid w:val="002E4DFA"/>
    <w:rsid w:val="002F370F"/>
    <w:rsid w:val="00300201"/>
    <w:rsid w:val="003036CC"/>
    <w:rsid w:val="00314EEF"/>
    <w:rsid w:val="0034170C"/>
    <w:rsid w:val="00345752"/>
    <w:rsid w:val="00351C71"/>
    <w:rsid w:val="003573A7"/>
    <w:rsid w:val="00357E46"/>
    <w:rsid w:val="00366194"/>
    <w:rsid w:val="00375D98"/>
    <w:rsid w:val="003779EF"/>
    <w:rsid w:val="003919D2"/>
    <w:rsid w:val="00391BC4"/>
    <w:rsid w:val="00393006"/>
    <w:rsid w:val="003943A6"/>
    <w:rsid w:val="003A436D"/>
    <w:rsid w:val="003B6870"/>
    <w:rsid w:val="003C4E18"/>
    <w:rsid w:val="003C63A4"/>
    <w:rsid w:val="003D20D4"/>
    <w:rsid w:val="003D29A7"/>
    <w:rsid w:val="003E0F5E"/>
    <w:rsid w:val="003F1D52"/>
    <w:rsid w:val="00402AE0"/>
    <w:rsid w:val="004269E2"/>
    <w:rsid w:val="004406C2"/>
    <w:rsid w:val="00446B9B"/>
    <w:rsid w:val="00456DCF"/>
    <w:rsid w:val="004A27B4"/>
    <w:rsid w:val="004A562A"/>
    <w:rsid w:val="004C247D"/>
    <w:rsid w:val="004D1B27"/>
    <w:rsid w:val="004D317D"/>
    <w:rsid w:val="004D7CDD"/>
    <w:rsid w:val="004D7E94"/>
    <w:rsid w:val="004E460B"/>
    <w:rsid w:val="004E48BC"/>
    <w:rsid w:val="004E6210"/>
    <w:rsid w:val="004F1A90"/>
    <w:rsid w:val="004F60B4"/>
    <w:rsid w:val="005107F6"/>
    <w:rsid w:val="00524A26"/>
    <w:rsid w:val="00532DE3"/>
    <w:rsid w:val="00537475"/>
    <w:rsid w:val="0054466B"/>
    <w:rsid w:val="0055144A"/>
    <w:rsid w:val="00556ABF"/>
    <w:rsid w:val="00573EE2"/>
    <w:rsid w:val="00590654"/>
    <w:rsid w:val="00592C62"/>
    <w:rsid w:val="00592E24"/>
    <w:rsid w:val="00594D0D"/>
    <w:rsid w:val="005B6821"/>
    <w:rsid w:val="005F146A"/>
    <w:rsid w:val="005F4852"/>
    <w:rsid w:val="005F6E9B"/>
    <w:rsid w:val="00602D24"/>
    <w:rsid w:val="00611411"/>
    <w:rsid w:val="006127EA"/>
    <w:rsid w:val="00636726"/>
    <w:rsid w:val="006407B5"/>
    <w:rsid w:val="00650EB1"/>
    <w:rsid w:val="00652485"/>
    <w:rsid w:val="006536BA"/>
    <w:rsid w:val="006549F0"/>
    <w:rsid w:val="006622B4"/>
    <w:rsid w:val="00670876"/>
    <w:rsid w:val="006730E7"/>
    <w:rsid w:val="00685298"/>
    <w:rsid w:val="006A4A14"/>
    <w:rsid w:val="006A5721"/>
    <w:rsid w:val="006B3E7D"/>
    <w:rsid w:val="006C6CF5"/>
    <w:rsid w:val="006D4ED3"/>
    <w:rsid w:val="006D6832"/>
    <w:rsid w:val="006E0FA5"/>
    <w:rsid w:val="00715DD8"/>
    <w:rsid w:val="00724418"/>
    <w:rsid w:val="00730423"/>
    <w:rsid w:val="007321A2"/>
    <w:rsid w:val="007329C9"/>
    <w:rsid w:val="00734583"/>
    <w:rsid w:val="007357C0"/>
    <w:rsid w:val="00743C83"/>
    <w:rsid w:val="0075697A"/>
    <w:rsid w:val="0076505A"/>
    <w:rsid w:val="007714E1"/>
    <w:rsid w:val="00784D29"/>
    <w:rsid w:val="00795594"/>
    <w:rsid w:val="0079723A"/>
    <w:rsid w:val="007A2782"/>
    <w:rsid w:val="007B7AE8"/>
    <w:rsid w:val="007C180B"/>
    <w:rsid w:val="007C5D70"/>
    <w:rsid w:val="007D065C"/>
    <w:rsid w:val="007D25B9"/>
    <w:rsid w:val="007F1B9C"/>
    <w:rsid w:val="007F3F39"/>
    <w:rsid w:val="008157B5"/>
    <w:rsid w:val="00821913"/>
    <w:rsid w:val="00823248"/>
    <w:rsid w:val="00834C91"/>
    <w:rsid w:val="00884B69"/>
    <w:rsid w:val="008957AA"/>
    <w:rsid w:val="008A466B"/>
    <w:rsid w:val="008B7AEB"/>
    <w:rsid w:val="008C051C"/>
    <w:rsid w:val="008D2322"/>
    <w:rsid w:val="008D6465"/>
    <w:rsid w:val="008E00C8"/>
    <w:rsid w:val="008E4EDF"/>
    <w:rsid w:val="008F00D6"/>
    <w:rsid w:val="00905AAA"/>
    <w:rsid w:val="009069EF"/>
    <w:rsid w:val="0091212C"/>
    <w:rsid w:val="00923956"/>
    <w:rsid w:val="00925C84"/>
    <w:rsid w:val="00926838"/>
    <w:rsid w:val="00932B64"/>
    <w:rsid w:val="00947235"/>
    <w:rsid w:val="00973887"/>
    <w:rsid w:val="0099371A"/>
    <w:rsid w:val="00996786"/>
    <w:rsid w:val="009A1231"/>
    <w:rsid w:val="009E04E1"/>
    <w:rsid w:val="009E2970"/>
    <w:rsid w:val="009E6163"/>
    <w:rsid w:val="009E6E7B"/>
    <w:rsid w:val="00A0000A"/>
    <w:rsid w:val="00A0099B"/>
    <w:rsid w:val="00A10FFF"/>
    <w:rsid w:val="00A21CEC"/>
    <w:rsid w:val="00A2328E"/>
    <w:rsid w:val="00A24C51"/>
    <w:rsid w:val="00A346F6"/>
    <w:rsid w:val="00A44378"/>
    <w:rsid w:val="00A44B5B"/>
    <w:rsid w:val="00A51C07"/>
    <w:rsid w:val="00A67FEE"/>
    <w:rsid w:val="00A74766"/>
    <w:rsid w:val="00A771FA"/>
    <w:rsid w:val="00A77C1C"/>
    <w:rsid w:val="00A82E0D"/>
    <w:rsid w:val="00A85D6F"/>
    <w:rsid w:val="00A96663"/>
    <w:rsid w:val="00AA0297"/>
    <w:rsid w:val="00AA0F6D"/>
    <w:rsid w:val="00AA33BC"/>
    <w:rsid w:val="00AB28CF"/>
    <w:rsid w:val="00AB5DD8"/>
    <w:rsid w:val="00B22148"/>
    <w:rsid w:val="00B8337A"/>
    <w:rsid w:val="00B9208D"/>
    <w:rsid w:val="00BD16C5"/>
    <w:rsid w:val="00BD5186"/>
    <w:rsid w:val="00C019A9"/>
    <w:rsid w:val="00C15A6B"/>
    <w:rsid w:val="00C174BC"/>
    <w:rsid w:val="00C207B9"/>
    <w:rsid w:val="00C2526B"/>
    <w:rsid w:val="00C5687C"/>
    <w:rsid w:val="00C572F6"/>
    <w:rsid w:val="00C63E88"/>
    <w:rsid w:val="00C654C7"/>
    <w:rsid w:val="00C73597"/>
    <w:rsid w:val="00C7511B"/>
    <w:rsid w:val="00CA65FF"/>
    <w:rsid w:val="00CB0FE0"/>
    <w:rsid w:val="00CC3728"/>
    <w:rsid w:val="00CD27D8"/>
    <w:rsid w:val="00CD57D0"/>
    <w:rsid w:val="00CF0710"/>
    <w:rsid w:val="00D00FE3"/>
    <w:rsid w:val="00D0782B"/>
    <w:rsid w:val="00D17BE8"/>
    <w:rsid w:val="00D301EA"/>
    <w:rsid w:val="00D31E69"/>
    <w:rsid w:val="00D323C0"/>
    <w:rsid w:val="00D418A0"/>
    <w:rsid w:val="00D437C8"/>
    <w:rsid w:val="00D46287"/>
    <w:rsid w:val="00D507D5"/>
    <w:rsid w:val="00D530E3"/>
    <w:rsid w:val="00D55340"/>
    <w:rsid w:val="00D60DB4"/>
    <w:rsid w:val="00D832F1"/>
    <w:rsid w:val="00DC5CC9"/>
    <w:rsid w:val="00DC65AD"/>
    <w:rsid w:val="00DD2D3B"/>
    <w:rsid w:val="00E004DF"/>
    <w:rsid w:val="00E46DB3"/>
    <w:rsid w:val="00E611CD"/>
    <w:rsid w:val="00E7211A"/>
    <w:rsid w:val="00E742FC"/>
    <w:rsid w:val="00E76FF2"/>
    <w:rsid w:val="00E77320"/>
    <w:rsid w:val="00E92840"/>
    <w:rsid w:val="00E958A2"/>
    <w:rsid w:val="00EB4D7E"/>
    <w:rsid w:val="00EB7B51"/>
    <w:rsid w:val="00EC1286"/>
    <w:rsid w:val="00EC3CC1"/>
    <w:rsid w:val="00ED2E78"/>
    <w:rsid w:val="00ED464C"/>
    <w:rsid w:val="00ED743C"/>
    <w:rsid w:val="00EE57B0"/>
    <w:rsid w:val="00EF1632"/>
    <w:rsid w:val="00F03639"/>
    <w:rsid w:val="00F13B8F"/>
    <w:rsid w:val="00F175DD"/>
    <w:rsid w:val="00F17737"/>
    <w:rsid w:val="00F22706"/>
    <w:rsid w:val="00F46A1E"/>
    <w:rsid w:val="00F47065"/>
    <w:rsid w:val="00F47D6F"/>
    <w:rsid w:val="00F52B55"/>
    <w:rsid w:val="00F57D7C"/>
    <w:rsid w:val="00F61CB3"/>
    <w:rsid w:val="00F73030"/>
    <w:rsid w:val="00FA0BC8"/>
    <w:rsid w:val="00FC30E1"/>
    <w:rsid w:val="00FD5C0B"/>
    <w:rsid w:val="00FE40ED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5:docId w15:val="{E59B6987-D99A-489D-AE96-5029ECDC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103DFA"/>
  </w:style>
  <w:style w:type="paragraph" w:styleId="Footer">
    <w:name w:val="footer"/>
    <w:basedOn w:val="Normal"/>
    <w:link w:val="Zpat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103DFA"/>
  </w:style>
  <w:style w:type="paragraph" w:styleId="ListParagraph">
    <w:name w:val="List Paragraph"/>
    <w:basedOn w:val="Normal"/>
    <w:uiPriority w:val="34"/>
    <w:qFormat/>
    <w:rsid w:val="007F3F39"/>
    <w:pPr>
      <w:ind w:left="720"/>
      <w:contextualSpacing/>
    </w:pPr>
  </w:style>
  <w:style w:type="table" w:styleId="TableGrid">
    <w:name w:val="Table Grid"/>
    <w:basedOn w:val="TableNormal"/>
    <w:uiPriority w:val="39"/>
    <w:rsid w:val="0073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24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24C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7FEE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A67F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A67F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67FEE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A67FEE"/>
    <w:rPr>
      <w:b/>
      <w:bCs/>
      <w:sz w:val="20"/>
      <w:szCs w:val="20"/>
    </w:rPr>
  </w:style>
  <w:style w:type="paragraph" w:styleId="EndnoteText">
    <w:name w:val="endnote text"/>
    <w:basedOn w:val="Normal"/>
    <w:link w:val="Textvysvtlivek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rsid w:val="001447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44728"/>
    <w:rPr>
      <w:vertAlign w:val="superscript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1447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4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E6ECB-B73D-4771-8B94-95432E7B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Bönsch Petr</dc:creator>
  <cp:lastModifiedBy>Šárka Levková</cp:lastModifiedBy>
  <cp:revision>25</cp:revision>
  <cp:lastPrinted>2024-01-08T12:15:00Z</cp:lastPrinted>
  <dcterms:created xsi:type="dcterms:W3CDTF">2024-01-08T09:32:00Z</dcterms:created>
  <dcterms:modified xsi:type="dcterms:W3CDTF">2024-09-10T10:29:00Z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KT/606/2024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KT/370/2022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Automat pro Sbírku právních předpisů územních samosprávných celků (Ministerstvo vnitra), náměstí Hrdinů 1634/3, Nusle, 140 00 PRAHA 4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10.9.2024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&lt;TABLE&gt;&lt;TR&gt;&lt;TD&gt;Č.j.:&lt;/TD&gt;&lt;TD&gt;KT/606/2024&lt;/TD&gt;&lt;/TR&gt;&lt;TR&gt;&lt;TD&gt;&lt;/TD&gt;&lt;TD&gt;&lt;/TD&gt;&lt;/TR&gt;&lt;/TABLE&gt;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Kancelář tajemníka</vt:lpwstr>
  </property>
  <property fmtid="{D5CDD505-2E9C-101B-9397-08002B2CF9AE}" pid="16" name="DisplayName_UserPoriz_Pisemnost">
    <vt:lpwstr>Šárka Levková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NE-12356/24</vt:lpwstr>
  </property>
  <property fmtid="{D5CDD505-2E9C-101B-9397-08002B2CF9AE}" pid="19" name="Key_BarCode_Pisemnost">
    <vt:lpwstr>*B000191737*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0</vt:lpwstr>
  </property>
  <property fmtid="{D5CDD505-2E9C-101B-9397-08002B2CF9AE}" pid="27" name="PocetListu_Pisemnost">
    <vt:lpwstr>0/1</vt:lpwstr>
  </property>
  <property fmtid="{D5CDD505-2E9C-101B-9397-08002B2CF9AE}" pid="28" name="PocetPriloh_Pisemnost">
    <vt:lpwstr>1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NE-12356/24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1807/22</vt:lpwstr>
  </property>
  <property fmtid="{D5CDD505-2E9C-101B-9397-08002B2CF9AE}" pid="37" name="TEST">
    <vt:lpwstr>testovací pole</vt:lpwstr>
  </property>
  <property fmtid="{D5CDD505-2E9C-101B-9397-08002B2CF9AE}" pid="38" name="TypPrilohy_Pisemnost">
    <vt:lpwstr>1 el.s.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OZV o stanovení koeficientů daně z nemovitých věcí</vt:lpwstr>
  </property>
  <property fmtid="{D5CDD505-2E9C-101B-9397-08002B2CF9AE}" pid="41" name="Zkratka_SpisovyUzel_PoziceZodpo_Pisemnost">
    <vt:lpwstr>KT</vt:lpwstr>
  </property>
</Properties>
</file>