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</w:r>
      <w:r>
        <w:rPr>
          <w:rFonts w:ascii="Arial" w:hAnsi="Arial" w:cs="Arial"/>
          <w:bCs/>
          <w:sz w:val="26"/>
          <w:szCs w:val="26"/>
        </w:rPr>
      </w:r>
    </w:p>
    <w:p>
      <w:pPr>
        <w:pStyle w:val="826"/>
        <w:pBdr/>
        <w:tabs>
          <w:tab w:val="clear" w:leader="none" w:pos="4536"/>
          <w:tab w:val="clear" w:leader="none" w:pos="9072"/>
        </w:tabs>
        <w:spacing/>
        <w:ind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</w:r>
    </w:p>
    <w:p>
      <w:pPr>
        <w:pBdr/>
        <w:spacing w:line="276" w:lineRule="auto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DOLANY</w:t>
      </w:r>
      <w:r>
        <w:rPr>
          <w:rFonts w:ascii="Arial" w:hAnsi="Arial" w:cs="Arial"/>
          <w:b/>
        </w:rPr>
      </w:r>
    </w:p>
    <w:p>
      <w:pPr>
        <w:pBdr/>
        <w:spacing w:line="276" w:lineRule="auto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Dolany</w:t>
      </w:r>
      <w:r>
        <w:rPr>
          <w:rFonts w:ascii="Arial" w:hAnsi="Arial" w:cs="Arial"/>
          <w:b/>
        </w:rPr>
      </w:r>
    </w:p>
    <w:p>
      <w:pPr>
        <w:pBdr/>
        <w:spacing w:line="276" w:lineRule="auto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line="276" w:lineRule="auto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obce</w:t>
      </w:r>
      <w:r>
        <w:rPr>
          <w:rFonts w:ascii="Arial" w:hAnsi="Arial" w:cs="Arial"/>
          <w:b/>
        </w:rPr>
        <w:t xml:space="preserve"> Dol</w:t>
      </w:r>
      <w:r>
        <w:rPr>
          <w:rFonts w:ascii="Arial" w:hAnsi="Arial" w:cs="Arial"/>
          <w:b/>
        </w:rPr>
        <w:t xml:space="preserve">any</w:t>
      </w:r>
      <w:r>
        <w:rPr>
          <w:rFonts w:ascii="Arial" w:hAnsi="Arial" w:cs="Arial"/>
          <w:b/>
        </w:rPr>
      </w:r>
    </w:p>
    <w:p>
      <w:pPr>
        <w:pStyle w:val="830"/>
        <w:pBdr/>
        <w:spacing w:line="240" w:lineRule="auto"/>
        <w:ind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odpadového hospodářství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Dol</w:t>
      </w:r>
      <w:r>
        <w:rPr>
          <w:rFonts w:ascii="Arial" w:hAnsi="Arial" w:cs="Arial"/>
          <w:sz w:val="22"/>
          <w:szCs w:val="22"/>
        </w:rPr>
        <w:t xml:space="preserve">any </w:t>
      </w:r>
      <w:r>
        <w:rPr>
          <w:rFonts w:ascii="Arial" w:hAnsi="Arial" w:cs="Arial"/>
          <w:sz w:val="22"/>
          <w:szCs w:val="22"/>
        </w:rPr>
        <w:t xml:space="preserve">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7. května 2025 </w:t>
      </w:r>
      <w:r>
        <w:rPr>
          <w:rFonts w:ascii="Arial" w:hAnsi="Arial" w:cs="Arial"/>
          <w:sz w:val="22"/>
          <w:szCs w:val="22"/>
        </w:rPr>
        <w:t xml:space="preserve">usnesením č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  <w:t xml:space="preserve">3 </w:t>
      </w:r>
      <w:r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 xml:space="preserve">59</w:t>
      </w:r>
      <w:r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 xml:space="preserve">4</w:t>
      </w:r>
      <w:r>
        <w:rPr>
          <w:rFonts w:ascii="Arial" w:hAnsi="Arial" w:cs="Arial"/>
          <w:sz w:val="22"/>
          <w:szCs w:val="22"/>
        </w:rPr>
        <w:t xml:space="preserve"> zákona </w:t>
      </w:r>
      <w:r>
        <w:rPr>
          <w:rFonts w:ascii="Arial" w:hAnsi="Arial" w:cs="Arial"/>
          <w:sz w:val="22"/>
          <w:szCs w:val="22"/>
        </w:rPr>
        <w:t xml:space="preserve">č. 541/2020 Sb.,</w:t>
      </w:r>
      <w:r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o odpadech“), </w:t>
      </w:r>
      <w:r>
        <w:rPr>
          <w:rFonts w:ascii="Arial" w:hAnsi="Arial" w:cs="Arial"/>
          <w:sz w:val="22"/>
          <w:szCs w:val="22"/>
        </w:rPr>
        <w:t xml:space="preserve">ve znění pozdějších předpisů </w:t>
      </w:r>
      <w:r>
        <w:rPr>
          <w:rFonts w:ascii="Arial" w:hAnsi="Arial" w:cs="Arial"/>
          <w:sz w:val="22"/>
          <w:szCs w:val="22"/>
        </w:rPr>
        <w:t xml:space="preserve">a v souladu s § 10 písm. d) a § 84 odst. 2 písm. h)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zákona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128/2000 Sb., o obcích (obecní zřízení</w:t>
      </w:r>
      <w:r>
        <w:rPr>
          <w:rFonts w:ascii="Arial" w:hAnsi="Arial" w:cs="Arial"/>
          <w:sz w:val="22"/>
          <w:szCs w:val="22"/>
        </w:rPr>
        <w:t xml:space="preserve">), ve znění pozdějších předpisů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>
        <w:rPr>
          <w:rFonts w:ascii="Arial" w:hAnsi="Arial" w:cs="Arial"/>
          <w:sz w:val="22"/>
          <w:szCs w:val="22"/>
        </w:rPr>
        <w:t xml:space="preserve">:</w:t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1</w:t>
      </w:r>
      <w:r>
        <w:rPr>
          <w:rFonts w:ascii="Arial" w:hAnsi="Arial" w:cs="Arial"/>
          <w:b/>
          <w:sz w:val="22"/>
          <w:szCs w:val="22"/>
        </w:rPr>
      </w:r>
    </w:p>
    <w:p>
      <w:pPr>
        <w:pStyle w:val="820"/>
        <w:pBdr/>
        <w:spacing/>
        <w:ind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Úvodní ustanovení</w:t>
      </w:r>
      <w:r>
        <w:rPr>
          <w:rFonts w:ascii="Arial" w:hAnsi="Arial" w:cs="Arial"/>
          <w:b/>
          <w:bCs/>
          <w:sz w:val="22"/>
          <w:szCs w:val="22"/>
          <w:u w:val="none"/>
        </w:rPr>
      </w:r>
    </w:p>
    <w:p>
      <w:pPr>
        <w:pBdr/>
        <w:tabs>
          <w:tab w:val="left" w:leader="none" w:pos="567"/>
        </w:tabs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numPr>
          <w:ilvl w:val="0"/>
          <w:numId w:val="24"/>
        </w:numPr>
        <w:pBdr/>
        <w:tabs>
          <w:tab w:val="left" w:leader="none" w:pos="0"/>
        </w:tabs>
        <w:spacing/>
        <w:ind w:hanging="426" w:left="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 xml:space="preserve">obecní systém </w:t>
      </w:r>
      <w:r>
        <w:rPr>
          <w:rFonts w:ascii="Arial" w:hAnsi="Arial" w:cs="Arial"/>
          <w:sz w:val="22"/>
          <w:szCs w:val="22"/>
        </w:rPr>
        <w:t xml:space="preserve">odpadového hospodářství na území obce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Dol</w:t>
      </w:r>
      <w:r>
        <w:rPr>
          <w:rFonts w:ascii="Arial" w:hAnsi="Arial" w:cs="Arial"/>
          <w:sz w:val="22"/>
          <w:szCs w:val="22"/>
        </w:rPr>
        <w:t xml:space="preserve">any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color w:val="00b0f0"/>
          <w:sz w:val="22"/>
          <w:szCs w:val="22"/>
        </w:rPr>
      </w:r>
    </w:p>
    <w:p>
      <w:pPr>
        <w:pBdr/>
        <w:tabs>
          <w:tab w:val="left" w:leader="none" w:pos="567"/>
        </w:tabs>
        <w:spacing/>
        <w:ind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</w:r>
      <w:r>
        <w:rPr>
          <w:rFonts w:ascii="Arial" w:hAnsi="Arial" w:cs="Arial"/>
          <w:color w:val="ff0000"/>
          <w:sz w:val="22"/>
          <w:szCs w:val="22"/>
        </w:rPr>
      </w:r>
    </w:p>
    <w:p>
      <w:pPr>
        <w:numPr>
          <w:ilvl w:val="0"/>
          <w:numId w:val="24"/>
        </w:numPr>
        <w:pBdr/>
        <w:tabs>
          <w:tab w:val="left" w:leader="none" w:pos="-142"/>
        </w:tabs>
        <w:spacing/>
        <w:ind w:hanging="426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>
        <w:rPr>
          <w:rFonts w:ascii="Arial" w:hAnsi="Arial" w:cs="Arial"/>
          <w:sz w:val="22"/>
          <w:szCs w:val="22"/>
        </w:rPr>
        <w:t xml:space="preserve">zákonem o odpadech</w:t>
      </w:r>
      <w:r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touto </w:t>
      </w:r>
      <w:r>
        <w:rPr>
          <w:rFonts w:ascii="Arial" w:hAnsi="Arial" w:cs="Arial"/>
          <w:sz w:val="22"/>
          <w:szCs w:val="22"/>
        </w:rPr>
        <w:t xml:space="preserve">vyhláškou</w:t>
      </w:r>
      <w:r>
        <w:rPr>
          <w:rStyle w:val="829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</w:p>
    <w:p>
      <w:pPr>
        <w:pBdr/>
        <w:tabs>
          <w:tab w:val="left" w:leader="none" w:pos="567"/>
        </w:tabs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numPr>
          <w:ilvl w:val="0"/>
          <w:numId w:val="24"/>
        </w:numPr>
        <w:pBdr/>
        <w:tabs>
          <w:tab w:val="left" w:leader="none" w:pos="-142"/>
        </w:tabs>
        <w:spacing/>
        <w:ind w:hanging="426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s výjimkou výrobků s ukončenou životností, na místě obcí k tomuto účelu určeném, stává se obec vlastníkem této movité věci nebo odpadu</w:t>
      </w:r>
      <w:r>
        <w:rPr>
          <w:rStyle w:val="829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</w:r>
    </w:p>
    <w:p>
      <w:pPr>
        <w:pBdr/>
        <w:tabs>
          <w:tab w:val="left" w:leader="none" w:pos="-142"/>
        </w:tabs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numPr>
          <w:ilvl w:val="0"/>
          <w:numId w:val="24"/>
        </w:numPr>
        <w:pBdr/>
        <w:tabs>
          <w:tab w:val="left" w:leader="none" w:pos="-142"/>
        </w:tabs>
        <w:spacing/>
        <w:ind w:hanging="426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umístěny za účelem dalšího nakládání s komunálním odpadem. Stanoviště sběrných nádob jsou individuální nebo společná pro více uživatelů.</w:t>
      </w:r>
      <w:r>
        <w:rPr>
          <w:rFonts w:ascii="Arial" w:hAnsi="Arial" w:cs="Arial"/>
          <w:sz w:val="22"/>
          <w:szCs w:val="22"/>
        </w:rPr>
      </w:r>
    </w:p>
    <w:p>
      <w:pPr>
        <w:pBdr/>
        <w:tabs>
          <w:tab w:val="left" w:leader="none" w:pos="-142"/>
        </w:tabs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2</w:t>
      </w:r>
      <w:r>
        <w:rPr>
          <w:rFonts w:ascii="Arial" w:hAnsi="Arial" w:cs="Arial"/>
          <w:b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numPr>
          <w:ilvl w:val="0"/>
          <w:numId w:val="17"/>
        </w:numPr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Osoby předávající k</w:t>
      </w:r>
      <w:r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>
        <w:rPr>
          <w:rFonts w:ascii="Arial" w:hAnsi="Arial" w:cs="Arial"/>
          <w:sz w:val="22"/>
          <w:szCs w:val="22"/>
        </w:rPr>
        <w:t xml:space="preserve">od</w:t>
      </w:r>
      <w:r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>
        <w:rPr>
          <w:rFonts w:ascii="Arial" w:hAnsi="Arial" w:cs="Arial"/>
          <w:sz w:val="22"/>
          <w:szCs w:val="22"/>
        </w:rPr>
        <w:t xml:space="preserve">složky</w:t>
      </w:r>
      <w:r>
        <w:rPr>
          <w:rFonts w:ascii="Arial" w:hAnsi="Arial" w:cs="Arial"/>
          <w:sz w:val="22"/>
          <w:szCs w:val="22"/>
        </w:rPr>
        <w:t xml:space="preserve">:</w:t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</w:r>
      <w:r>
        <w:rPr>
          <w:rFonts w:ascii="Arial" w:hAnsi="Arial" w:cs="Arial"/>
          <w:i/>
          <w:iCs/>
          <w:sz w:val="22"/>
          <w:szCs w:val="22"/>
        </w:rPr>
      </w:r>
    </w:p>
    <w:p>
      <w:pPr>
        <w:pStyle w:val="835"/>
        <w:numPr>
          <w:ilvl w:val="0"/>
          <w:numId w:val="10"/>
        </w:numPr>
        <w:pBdr/>
        <w:spacing w:after="0" w:line="240" w:lineRule="auto"/>
        <w:ind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Biologick</w:t>
      </w:r>
      <w:r>
        <w:rPr>
          <w:rFonts w:ascii="Arial" w:hAnsi="Arial" w:cs="Arial"/>
          <w:bCs/>
          <w:i/>
          <w:color w:val="000000"/>
        </w:rPr>
        <w:t xml:space="preserve">é</w:t>
      </w:r>
      <w:r>
        <w:rPr>
          <w:rFonts w:ascii="Arial" w:hAnsi="Arial" w:cs="Arial"/>
          <w:bCs/>
          <w:i/>
          <w:color w:val="000000"/>
        </w:rPr>
        <w:t xml:space="preserve"> odpady</w:t>
      </w:r>
      <w:r>
        <w:rPr>
          <w:rFonts w:ascii="Arial" w:hAnsi="Arial" w:cs="Arial"/>
          <w:bCs/>
          <w:i/>
        </w:rPr>
        <w:t xml:space="preserve">,</w:t>
      </w:r>
      <w:r>
        <w:rPr>
          <w:rFonts w:ascii="Arial" w:hAnsi="Arial" w:cs="Arial"/>
          <w:bCs/>
          <w:i/>
          <w:color w:val="000000"/>
        </w:rPr>
      </w:r>
    </w:p>
    <w:p>
      <w:pPr>
        <w:pStyle w:val="835"/>
        <w:numPr>
          <w:ilvl w:val="0"/>
          <w:numId w:val="10"/>
        </w:numPr>
        <w:pBdr/>
        <w:tabs>
          <w:tab w:val="left" w:leader="none" w:pos="567"/>
        </w:tabs>
        <w:spacing w:after="0" w:line="240" w:lineRule="auto"/>
        <w:ind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Papír,</w:t>
      </w:r>
      <w:r>
        <w:rPr>
          <w:rFonts w:ascii="Arial" w:hAnsi="Arial" w:cs="Arial"/>
          <w:bCs/>
          <w:i/>
          <w:color w:val="000000"/>
        </w:rPr>
      </w:r>
    </w:p>
    <w:p>
      <w:pPr>
        <w:pStyle w:val="835"/>
        <w:numPr>
          <w:ilvl w:val="0"/>
          <w:numId w:val="10"/>
        </w:numPr>
        <w:pBdr/>
        <w:tabs>
          <w:tab w:val="left" w:leader="none" w:pos="567"/>
        </w:tabs>
        <w:spacing w:after="0" w:line="240" w:lineRule="auto"/>
        <w:ind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Plasty</w:t>
      </w:r>
      <w:r>
        <w:rPr>
          <w:rFonts w:ascii="Arial" w:hAnsi="Arial" w:cs="Arial"/>
          <w:bCs/>
          <w:i/>
          <w:color w:val="000000"/>
        </w:rPr>
        <w:t xml:space="preserve"> včetně PET lahví</w:t>
      </w:r>
      <w:r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 xml:space="preserve">(dále </w:t>
      </w:r>
      <w:r>
        <w:rPr>
          <w:rFonts w:ascii="Arial" w:hAnsi="Arial" w:cs="Arial"/>
          <w:bCs/>
          <w:i/>
          <w:color w:val="000000"/>
        </w:rPr>
        <w:t xml:space="preserve">také </w:t>
      </w:r>
      <w:r>
        <w:rPr>
          <w:rFonts w:ascii="Arial" w:hAnsi="Arial" w:cs="Arial"/>
          <w:bCs/>
          <w:i/>
          <w:color w:val="000000"/>
        </w:rPr>
        <w:t xml:space="preserve">jen „plasty“)</w:t>
      </w:r>
      <w:r>
        <w:rPr>
          <w:rFonts w:ascii="Arial" w:hAnsi="Arial" w:cs="Arial"/>
          <w:bCs/>
          <w:i/>
          <w:color w:val="000000"/>
        </w:rPr>
        <w:t xml:space="preserve">,</w:t>
      </w:r>
      <w:r>
        <w:rPr>
          <w:rFonts w:ascii="Arial" w:hAnsi="Arial" w:cs="Arial"/>
          <w:bCs/>
          <w:i/>
          <w:color w:val="000000"/>
        </w:rPr>
      </w:r>
    </w:p>
    <w:p>
      <w:pPr>
        <w:pStyle w:val="835"/>
        <w:numPr>
          <w:ilvl w:val="0"/>
          <w:numId w:val="10"/>
        </w:numPr>
        <w:pBdr/>
        <w:tabs>
          <w:tab w:val="left" w:leader="none" w:pos="567"/>
        </w:tabs>
        <w:spacing w:after="0" w:line="240" w:lineRule="auto"/>
        <w:ind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Sklo</w:t>
      </w:r>
      <w:r>
        <w:rPr>
          <w:rFonts w:ascii="Arial" w:hAnsi="Arial" w:cs="Arial"/>
          <w:bCs/>
          <w:i/>
          <w:color w:val="000000"/>
        </w:rPr>
        <w:t xml:space="preserve"> čiré</w:t>
      </w:r>
      <w:r>
        <w:rPr>
          <w:rFonts w:ascii="Arial" w:hAnsi="Arial" w:cs="Arial"/>
          <w:bCs/>
          <w:i/>
          <w:color w:val="000000"/>
        </w:rPr>
        <w:t xml:space="preserve">,</w:t>
      </w:r>
      <w:r>
        <w:rPr>
          <w:rFonts w:ascii="Arial" w:hAnsi="Arial" w:cs="Arial"/>
          <w:bCs/>
          <w:i/>
          <w:color w:val="000000"/>
        </w:rPr>
      </w:r>
    </w:p>
    <w:p>
      <w:pPr>
        <w:pStyle w:val="835"/>
        <w:numPr>
          <w:ilvl w:val="0"/>
          <w:numId w:val="10"/>
        </w:numPr>
        <w:pBdr/>
        <w:tabs>
          <w:tab w:val="left" w:leader="none" w:pos="567"/>
        </w:tabs>
        <w:spacing w:after="0" w:line="240" w:lineRule="auto"/>
        <w:ind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Sklo barevné,</w:t>
      </w:r>
      <w:r>
        <w:rPr>
          <w:rFonts w:ascii="Arial" w:hAnsi="Arial" w:cs="Arial"/>
          <w:bCs/>
          <w:i/>
          <w:color w:val="000000"/>
        </w:rPr>
      </w:r>
    </w:p>
    <w:p>
      <w:pPr>
        <w:pStyle w:val="835"/>
        <w:numPr>
          <w:ilvl w:val="0"/>
          <w:numId w:val="10"/>
        </w:numPr>
        <w:pBdr/>
        <w:tabs>
          <w:tab w:val="left" w:leader="none" w:pos="567"/>
        </w:tabs>
        <w:spacing w:after="0" w:line="240" w:lineRule="auto"/>
        <w:ind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   </w:t>
      </w:r>
      <w:r>
        <w:rPr>
          <w:rFonts w:ascii="Arial" w:hAnsi="Arial" w:cs="Arial"/>
          <w:bCs/>
          <w:i/>
          <w:color w:val="000000"/>
        </w:rPr>
        <w:t xml:space="preserve">Nápojové kartony,</w:t>
      </w:r>
      <w:r>
        <w:rPr>
          <w:rFonts w:ascii="Arial" w:hAnsi="Arial" w:cs="Arial"/>
          <w:bCs/>
          <w:i/>
          <w:color w:val="000000"/>
        </w:rPr>
      </w:r>
    </w:p>
    <w:p>
      <w:pPr>
        <w:pStyle w:val="835"/>
        <w:numPr>
          <w:ilvl w:val="0"/>
          <w:numId w:val="10"/>
        </w:numPr>
        <w:pBdr/>
        <w:spacing w:after="0" w:line="240" w:lineRule="auto"/>
        <w:ind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Kovy,</w:t>
      </w:r>
      <w:r>
        <w:rPr>
          <w:rFonts w:ascii="Arial" w:hAnsi="Arial" w:cs="Arial"/>
          <w:bCs/>
          <w:i/>
          <w:color w:val="000000"/>
        </w:rPr>
      </w:r>
    </w:p>
    <w:p>
      <w:pPr>
        <w:numPr>
          <w:ilvl w:val="0"/>
          <w:numId w:val="10"/>
        </w:numPr>
        <w:pBdr/>
        <w:spacing/>
        <w:ind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,</w:t>
      </w:r>
      <w:r>
        <w:rPr>
          <w:rFonts w:ascii="Arial" w:hAnsi="Arial" w:cs="Arial"/>
          <w:i/>
          <w:iCs/>
          <w:sz w:val="22"/>
          <w:szCs w:val="22"/>
        </w:rPr>
      </w:r>
    </w:p>
    <w:p>
      <w:pPr>
        <w:numPr>
          <w:ilvl w:val="0"/>
          <w:numId w:val="10"/>
        </w:numPr>
        <w:pBdr/>
        <w:spacing/>
        <w:ind/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Objemný odpad,</w:t>
      </w:r>
      <w:r>
        <w:rPr>
          <w:rFonts w:ascii="Arial" w:hAnsi="Arial" w:cs="Arial"/>
          <w:bCs/>
          <w:i/>
          <w:color w:val="000000"/>
          <w:sz w:val="22"/>
          <w:szCs w:val="22"/>
        </w:rPr>
      </w:r>
    </w:p>
    <w:p>
      <w:pPr>
        <w:numPr>
          <w:ilvl w:val="0"/>
          <w:numId w:val="10"/>
        </w:numPr>
        <w:pBdr/>
        <w:spacing/>
        <w:ind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Jedlé oleje a tuky,</w:t>
      </w:r>
      <w:r>
        <w:rPr>
          <w:rFonts w:ascii="Arial" w:hAnsi="Arial" w:cs="Arial"/>
          <w:i/>
          <w:iCs/>
          <w:sz w:val="22"/>
          <w:szCs w:val="22"/>
        </w:rPr>
      </w:r>
    </w:p>
    <w:p>
      <w:pPr>
        <w:numPr>
          <w:ilvl w:val="0"/>
          <w:numId w:val="10"/>
        </w:numPr>
        <w:pBdr/>
        <w:spacing/>
        <w:ind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</w:t>
      </w:r>
      <w:r>
        <w:rPr>
          <w:rFonts w:ascii="Arial" w:hAnsi="Arial" w:cs="Arial"/>
          <w:i/>
          <w:iCs/>
          <w:sz w:val="22"/>
          <w:szCs w:val="22"/>
        </w:rPr>
        <w:t xml:space="preserve">, </w:t>
      </w:r>
      <w:r>
        <w:rPr>
          <w:rFonts w:ascii="Arial" w:hAnsi="Arial" w:cs="Arial"/>
          <w:i/>
          <w:iCs/>
          <w:sz w:val="22"/>
          <w:szCs w:val="22"/>
        </w:rPr>
      </w:r>
    </w:p>
    <w:p>
      <w:pPr>
        <w:numPr>
          <w:ilvl w:val="0"/>
          <w:numId w:val="10"/>
        </w:numPr>
        <w:pBdr/>
        <w:spacing/>
        <w:ind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Směsný komunální odpad</w:t>
      </w:r>
      <w:r>
        <w:rPr>
          <w:rFonts w:ascii="Arial" w:hAnsi="Arial" w:cs="Arial"/>
          <w:i/>
          <w:iCs/>
          <w:sz w:val="22"/>
          <w:szCs w:val="22"/>
        </w:rPr>
        <w:t xml:space="preserve">.</w:t>
      </w:r>
      <w:r>
        <w:rPr>
          <w:rFonts w:ascii="Arial" w:hAnsi="Arial" w:cs="Arial"/>
          <w:i/>
          <w:iCs/>
          <w:sz w:val="22"/>
          <w:szCs w:val="22"/>
        </w:rPr>
      </w:r>
    </w:p>
    <w:p>
      <w:pPr>
        <w:pBdr/>
        <w:spacing/>
        <w:ind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</w:r>
      <w:r>
        <w:rPr>
          <w:rFonts w:ascii="Arial" w:hAnsi="Arial" w:cs="Arial"/>
          <w:i/>
          <w:sz w:val="22"/>
          <w:szCs w:val="22"/>
        </w:rPr>
      </w:r>
    </w:p>
    <w:p>
      <w:pPr>
        <w:pStyle w:val="824"/>
        <w:numPr>
          <w:ilvl w:val="0"/>
          <w:numId w:val="17"/>
        </w:num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Směsný</w:t>
      </w:r>
      <w:r>
        <w:rPr>
          <w:rFonts w:ascii="Arial" w:hAnsi="Arial" w:cs="Arial"/>
          <w:sz w:val="22"/>
          <w:szCs w:val="22"/>
        </w:rPr>
        <w:t xml:space="preserve">m </w:t>
      </w:r>
      <w:r>
        <w:rPr>
          <w:rFonts w:ascii="Arial" w:hAnsi="Arial" w:cs="Arial"/>
          <w:sz w:val="22"/>
          <w:szCs w:val="22"/>
        </w:rPr>
        <w:t xml:space="preserve">komunální</w:t>
      </w:r>
      <w:r>
        <w:rPr>
          <w:rFonts w:ascii="Arial" w:hAnsi="Arial" w:cs="Arial"/>
          <w:sz w:val="22"/>
          <w:szCs w:val="22"/>
        </w:rPr>
        <w:t xml:space="preserve">m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odpad</w:t>
      </w:r>
      <w:r>
        <w:rPr>
          <w:rFonts w:ascii="Arial" w:hAnsi="Arial" w:cs="Arial"/>
          <w:sz w:val="22"/>
          <w:szCs w:val="22"/>
        </w:rPr>
        <w:t xml:space="preserve">em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rozumí</w:t>
      </w:r>
      <w:r>
        <w:rPr>
          <w:rFonts w:ascii="Arial" w:hAnsi="Arial" w:cs="Arial"/>
          <w:sz w:val="22"/>
          <w:szCs w:val="22"/>
        </w:rPr>
        <w:t xml:space="preserve"> zbylý komunální odpad po st</w:t>
      </w:r>
      <w:r>
        <w:rPr>
          <w:rFonts w:ascii="Arial" w:hAnsi="Arial" w:cs="Arial"/>
          <w:sz w:val="22"/>
          <w:szCs w:val="22"/>
        </w:rPr>
        <w:t xml:space="preserve">anoveném vytřídění </w:t>
      </w:r>
      <w:r>
        <w:rPr>
          <w:rFonts w:ascii="Arial" w:hAnsi="Arial" w:cs="Arial"/>
          <w:sz w:val="22"/>
          <w:szCs w:val="22"/>
        </w:rPr>
        <w:t xml:space="preserve">po</w:t>
      </w:r>
      <w:r>
        <w:rPr>
          <w:rFonts w:ascii="Arial" w:hAnsi="Arial" w:cs="Arial"/>
          <w:sz w:val="22"/>
          <w:szCs w:val="22"/>
        </w:rPr>
        <w:t xml:space="preserve">dle </w:t>
      </w:r>
      <w:r>
        <w:rPr>
          <w:rFonts w:ascii="Arial" w:hAnsi="Arial" w:cs="Arial"/>
          <w:sz w:val="22"/>
          <w:szCs w:val="22"/>
        </w:rPr>
        <w:t xml:space="preserve">odst</w:t>
      </w:r>
      <w:r>
        <w:rPr>
          <w:rFonts w:ascii="Arial" w:hAnsi="Arial" w:cs="Arial"/>
          <w:sz w:val="22"/>
          <w:szCs w:val="22"/>
        </w:rPr>
        <w:t xml:space="preserve">avce</w:t>
      </w:r>
      <w:r>
        <w:rPr>
          <w:rFonts w:ascii="Arial" w:hAnsi="Arial" w:cs="Arial"/>
          <w:sz w:val="22"/>
          <w:szCs w:val="22"/>
        </w:rPr>
        <w:t xml:space="preserve"> 1 písm. a) </w:t>
      </w:r>
      <w:r>
        <w:rPr>
          <w:rFonts w:ascii="Arial" w:hAnsi="Arial" w:cs="Arial"/>
          <w:sz w:val="22"/>
          <w:szCs w:val="22"/>
        </w:rPr>
        <w:t xml:space="preserve">a</w:t>
      </w:r>
      <w:r>
        <w:rPr>
          <w:rFonts w:ascii="Arial" w:hAnsi="Arial" w:cs="Arial"/>
          <w:sz w:val="22"/>
          <w:szCs w:val="22"/>
        </w:rPr>
        <w:t xml:space="preserve">ž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</w:t>
      </w:r>
      <w:r>
        <w:rPr>
          <w:rFonts w:ascii="Arial" w:hAnsi="Arial" w:cs="Arial"/>
          <w:sz w:val="22"/>
          <w:szCs w:val="22"/>
        </w:rPr>
        <w:t xml:space="preserve">)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</w:p>
    <w:p>
      <w:pPr>
        <w:pStyle w:val="824"/>
        <w:pBdr/>
        <w:spacing/>
        <w:ind w:firstLine="0"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24"/>
        <w:numPr>
          <w:ilvl w:val="0"/>
          <w:numId w:val="17"/>
        </w:num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</w:t>
      </w:r>
      <w:r>
        <w:rPr>
          <w:rFonts w:ascii="Arial" w:hAnsi="Arial" w:cs="Arial"/>
          <w:sz w:val="22"/>
          <w:szCs w:val="22"/>
        </w:rPr>
        <w:t xml:space="preserve"> (např. koberce, matrace, nábytek).</w:t>
      </w:r>
      <w:r>
        <w:rPr>
          <w:rFonts w:ascii="Arial" w:hAnsi="Arial" w:cs="Arial"/>
          <w:sz w:val="22"/>
          <w:szCs w:val="22"/>
        </w:rPr>
      </w:r>
    </w:p>
    <w:p>
      <w:pPr>
        <w:pStyle w:val="824"/>
        <w:pBdr/>
        <w:spacing/>
        <w:ind w:firstLine="0"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24"/>
        <w:pBdr/>
        <w:spacing/>
        <w:ind w:firstLine="0"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3</w:t>
      </w:r>
      <w:r>
        <w:rPr>
          <w:rFonts w:ascii="Arial" w:hAnsi="Arial" w:cs="Arial"/>
          <w:b/>
          <w:sz w:val="22"/>
          <w:szCs w:val="22"/>
        </w:rPr>
      </w:r>
    </w:p>
    <w:p>
      <w:pPr>
        <w:pStyle w:val="820"/>
        <w:pBdr/>
        <w:spacing/>
        <w:ind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Určení míst pro oddělené soustřeďování určených složek komunálního odpadu</w:t>
      </w:r>
      <w:r>
        <w:rPr>
          <w:rFonts w:ascii="Arial" w:hAnsi="Arial" w:cs="Arial"/>
          <w:b/>
          <w:bCs/>
          <w:sz w:val="22"/>
          <w:szCs w:val="22"/>
          <w:u w:val="none"/>
        </w:rPr>
      </w:r>
    </w:p>
    <w:p>
      <w:pPr>
        <w:pBdr/>
        <w:tabs>
          <w:tab w:val="num" w:leader="none" w:pos="927"/>
        </w:tabs>
        <w:spacing/>
        <w:ind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</w:r>
      <w:r>
        <w:rPr>
          <w:rFonts w:ascii="Arial" w:hAnsi="Arial" w:cs="Arial"/>
          <w:b/>
          <w:sz w:val="22"/>
          <w:szCs w:val="22"/>
          <w:u w:val="single"/>
        </w:rPr>
      </w:r>
    </w:p>
    <w:p>
      <w:pPr>
        <w:numPr>
          <w:ilvl w:val="0"/>
          <w:numId w:val="4"/>
        </w:numPr>
        <w:pBdr/>
        <w:tabs>
          <w:tab w:val="num" w:leader="none" w:pos="540"/>
          <w:tab w:val="num" w:leader="none" w:pos="927"/>
        </w:tabs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Tříděný komunální odpad dle čl.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 odst. 1 se soustřeďuje do zvláštních sběrných nádob, kterými jsou sběrné nádoby</w:t>
      </w:r>
      <w:r>
        <w:rPr>
          <w:rFonts w:ascii="Arial" w:hAnsi="Arial" w:cs="Arial"/>
          <w:sz w:val="22"/>
          <w:szCs w:val="22"/>
        </w:rPr>
        <w:t xml:space="preserve">, sběrné pytle </w:t>
      </w:r>
      <w:r>
        <w:rPr>
          <w:rFonts w:ascii="Arial" w:hAnsi="Arial" w:cs="Arial"/>
          <w:sz w:val="22"/>
          <w:szCs w:val="22"/>
        </w:rPr>
        <w:t xml:space="preserve">a velkoobjemové kontejnery.</w:t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30"/>
        <w:numPr>
          <w:ilvl w:val="0"/>
          <w:numId w:val="4"/>
        </w:numPr>
        <w:pBdr/>
        <w:tabs>
          <w:tab w:val="num" w:leader="none" w:pos="540"/>
          <w:tab w:val="num" w:leader="none" w:pos="927"/>
        </w:tabs>
        <w:spacing w:line="240" w:lineRule="auto"/>
        <w:ind w:firstLine="0"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</w:t>
      </w:r>
      <w:r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jsou umístěny na </w:t>
      </w:r>
      <w:r>
        <w:rPr>
          <w:rFonts w:ascii="Arial" w:hAnsi="Arial" w:cs="Arial"/>
          <w:sz w:val="22"/>
          <w:szCs w:val="22"/>
        </w:rPr>
        <w:t xml:space="preserve">těchto </w:t>
      </w:r>
      <w:r>
        <w:rPr>
          <w:rFonts w:ascii="Arial" w:hAnsi="Arial" w:cs="Arial"/>
          <w:sz w:val="22"/>
          <w:szCs w:val="22"/>
        </w:rPr>
        <w:t xml:space="preserve">stanovištích</w:t>
      </w:r>
      <w:r>
        <w:rPr>
          <w:rFonts w:ascii="Arial" w:hAnsi="Arial" w:cs="Arial"/>
          <w:sz w:val="22"/>
          <w:szCs w:val="22"/>
        </w:rPr>
        <w:t xml:space="preserve">:</w:t>
      </w:r>
      <w:r>
        <w:rPr>
          <w:rFonts w:ascii="Arial" w:hAnsi="Arial" w:cs="Arial"/>
          <w:sz w:val="22"/>
          <w:szCs w:val="22"/>
        </w:rPr>
      </w:r>
    </w:p>
    <w:p>
      <w:pPr>
        <w:pStyle w:val="835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5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a) u obchodu</w:t>
      </w:r>
      <w:r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čiré sklo, barevné sklo, jedlé oleje a tuky,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drobný elektroodpad</w:t>
      </w:r>
      <w:r>
        <w:rPr>
          <w:rFonts w:ascii="Arial" w:hAnsi="Arial" w:cs="Arial"/>
        </w:rPr>
        <w:t xml:space="preserve"> – označené volně dostupné sběrné nádoby</w:t>
      </w:r>
      <w:r>
        <w:rPr>
          <w:rFonts w:ascii="Arial" w:hAnsi="Arial" w:cs="Arial"/>
        </w:rPr>
      </w:r>
    </w:p>
    <w:p>
      <w:pPr>
        <w:pStyle w:val="835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b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na parkovišti ve sportovním areálu – jedlé oleje a tuky, textil, barevné sklo</w:t>
      </w:r>
      <w:r>
        <w:rPr>
          <w:rFonts w:ascii="Arial" w:hAnsi="Arial" w:cs="Arial"/>
        </w:rPr>
      </w:r>
    </w:p>
    <w:p>
      <w:pPr>
        <w:pStyle w:val="835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30"/>
        <w:numPr>
          <w:ilvl w:val="0"/>
          <w:numId w:val="4"/>
        </w:numPr>
        <w:pBdr/>
        <w:tabs>
          <w:tab w:val="num" w:leader="none" w:pos="540"/>
          <w:tab w:val="num" w:leader="none" w:pos="927"/>
        </w:tabs>
        <w:spacing w:line="240" w:lineRule="auto"/>
        <w:ind w:firstLine="0"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barevně odlišeny a </w:t>
      </w:r>
      <w:r>
        <w:rPr>
          <w:rFonts w:ascii="Arial" w:hAnsi="Arial" w:cs="Arial"/>
          <w:sz w:val="22"/>
          <w:szCs w:val="22"/>
        </w:rPr>
        <w:t xml:space="preserve">případně </w:t>
      </w:r>
      <w:r>
        <w:rPr>
          <w:rFonts w:ascii="Arial" w:hAnsi="Arial" w:cs="Arial"/>
          <w:sz w:val="22"/>
          <w:szCs w:val="22"/>
        </w:rPr>
        <w:t xml:space="preserve">označeny příslušnými nápisy:</w:t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</w:r>
      <w:r>
        <w:rPr>
          <w:rFonts w:ascii="Arial" w:hAnsi="Arial" w:cs="Arial"/>
          <w:bCs/>
          <w:i/>
          <w:color w:val="000000"/>
        </w:rPr>
      </w:r>
    </w:p>
    <w:p>
      <w:pPr>
        <w:pStyle w:val="835"/>
        <w:pBdr/>
        <w:spacing w:after="0" w:line="240" w:lineRule="auto"/>
        <w:ind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ff0000"/>
        </w:rPr>
      </w:r>
      <w:r>
        <w:rPr>
          <w:rFonts w:ascii="Arial" w:hAnsi="Arial" w:cs="Arial"/>
          <w:bCs/>
          <w:i/>
          <w:color w:val="ff0000"/>
        </w:rPr>
      </w:r>
    </w:p>
    <w:p>
      <w:pPr>
        <w:pStyle w:val="835"/>
        <w:numPr>
          <w:ilvl w:val="0"/>
          <w:numId w:val="18"/>
        </w:numPr>
        <w:pBdr/>
        <w:spacing w:after="0" w:line="240" w:lineRule="auto"/>
        <w:ind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 xml:space="preserve">Sklo čiré, barva bílá,</w:t>
      </w:r>
      <w:r>
        <w:rPr>
          <w:rFonts w:ascii="Arial" w:hAnsi="Arial" w:cs="Arial"/>
          <w:bCs/>
          <w:i/>
          <w:color w:val="ff0000"/>
        </w:rPr>
      </w:r>
    </w:p>
    <w:p>
      <w:pPr>
        <w:pStyle w:val="835"/>
        <w:numPr>
          <w:ilvl w:val="0"/>
          <w:numId w:val="18"/>
        </w:numPr>
        <w:pBdr/>
        <w:spacing w:after="0" w:line="240" w:lineRule="auto"/>
        <w:ind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S</w:t>
      </w:r>
      <w:r>
        <w:rPr>
          <w:rFonts w:ascii="Arial" w:hAnsi="Arial" w:cs="Arial"/>
          <w:bCs/>
          <w:i/>
          <w:color w:val="000000"/>
        </w:rPr>
        <w:t xml:space="preserve">klo</w:t>
      </w:r>
      <w:r>
        <w:rPr>
          <w:rFonts w:ascii="Arial" w:hAnsi="Arial" w:cs="Arial"/>
          <w:bCs/>
          <w:i/>
          <w:color w:val="000000"/>
        </w:rPr>
        <w:t xml:space="preserve"> barevné</w:t>
      </w:r>
      <w:r>
        <w:rPr>
          <w:rFonts w:ascii="Arial" w:hAnsi="Arial" w:cs="Arial"/>
          <w:bCs/>
          <w:i/>
          <w:color w:val="000000"/>
        </w:rPr>
        <w:t xml:space="preserve">, barva </w:t>
      </w:r>
      <w:r>
        <w:rPr>
          <w:rFonts w:ascii="Arial" w:hAnsi="Arial" w:cs="Arial"/>
          <w:bCs/>
          <w:i/>
          <w:color w:val="000000"/>
        </w:rPr>
        <w:t xml:space="preserve">zelená,</w:t>
      </w:r>
      <w:r>
        <w:rPr>
          <w:rFonts w:ascii="Arial" w:hAnsi="Arial" w:cs="Arial"/>
          <w:bCs/>
          <w:i/>
          <w:color w:val="000000"/>
        </w:rPr>
      </w:r>
    </w:p>
    <w:p>
      <w:pPr>
        <w:pStyle w:val="835"/>
        <w:numPr>
          <w:ilvl w:val="0"/>
          <w:numId w:val="18"/>
        </w:numPr>
        <w:pBdr/>
        <w:spacing w:after="0" w:line="240" w:lineRule="auto"/>
        <w:ind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 xml:space="preserve">Drobný elektroodpad, barva červená,</w:t>
      </w:r>
      <w:r>
        <w:rPr>
          <w:rFonts w:ascii="Arial" w:hAnsi="Arial" w:cs="Arial"/>
          <w:bCs/>
          <w:i/>
        </w:rPr>
      </w:r>
    </w:p>
    <w:p>
      <w:pPr>
        <w:numPr>
          <w:ilvl w:val="0"/>
          <w:numId w:val="18"/>
        </w:numPr>
        <w:pBdr/>
        <w:spacing/>
        <w:ind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Jedlé oleje a tuk</w:t>
      </w:r>
      <w:r>
        <w:rPr>
          <w:rFonts w:ascii="Arial" w:hAnsi="Arial" w:cs="Arial"/>
          <w:i/>
          <w:iCs/>
          <w:sz w:val="22"/>
          <w:szCs w:val="22"/>
        </w:rPr>
        <w:t xml:space="preserve">y</w:t>
      </w:r>
      <w:r>
        <w:rPr>
          <w:rStyle w:val="829"/>
          <w:rFonts w:ascii="Arial" w:hAnsi="Arial" w:cs="Arial"/>
          <w:i/>
          <w:iCs/>
          <w:sz w:val="22"/>
          <w:szCs w:val="22"/>
        </w:rPr>
        <w:footnoteReference w:id="4"/>
      </w:r>
      <w:r>
        <w:rPr>
          <w:rFonts w:ascii="Arial" w:hAnsi="Arial" w:cs="Arial"/>
          <w:i/>
          <w:iCs/>
          <w:sz w:val="22"/>
          <w:szCs w:val="22"/>
        </w:rPr>
        <w:t xml:space="preserve">, barva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 xml:space="preserve">černá</w:t>
      </w:r>
      <w:r>
        <w:rPr>
          <w:rFonts w:ascii="Arial" w:hAnsi="Arial" w:cs="Arial"/>
          <w:i/>
          <w:iCs/>
          <w:sz w:val="22"/>
          <w:szCs w:val="22"/>
        </w:rPr>
        <w:t xml:space="preserve">,</w:t>
      </w:r>
      <w:r>
        <w:rPr>
          <w:rFonts w:ascii="Arial" w:hAnsi="Arial" w:cs="Arial"/>
          <w:i/>
          <w:iCs/>
          <w:sz w:val="22"/>
          <w:szCs w:val="22"/>
        </w:rPr>
      </w:r>
    </w:p>
    <w:p>
      <w:pPr>
        <w:numPr>
          <w:ilvl w:val="0"/>
          <w:numId w:val="18"/>
        </w:numPr>
        <w:pBdr/>
        <w:spacing/>
        <w:ind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Textil,</w:t>
      </w:r>
      <w:r>
        <w:rPr>
          <w:rFonts w:ascii="Arial" w:hAnsi="Arial" w:cs="Arial"/>
          <w:i/>
          <w:iCs/>
          <w:sz w:val="22"/>
          <w:szCs w:val="22"/>
        </w:rPr>
        <w:t xml:space="preserve"> barva bílá</w:t>
      </w:r>
      <w:r>
        <w:rPr>
          <w:rFonts w:ascii="Arial" w:hAnsi="Arial" w:cs="Arial"/>
          <w:i/>
          <w:iCs/>
          <w:sz w:val="22"/>
          <w:szCs w:val="22"/>
        </w:rPr>
        <w:t xml:space="preserve">.</w:t>
      </w:r>
      <w:r>
        <w:rPr>
          <w:rFonts w:ascii="Arial" w:hAnsi="Arial" w:cs="Arial"/>
          <w:i/>
          <w:iCs/>
          <w:sz w:val="22"/>
          <w:szCs w:val="22"/>
        </w:rPr>
      </w:r>
    </w:p>
    <w:p>
      <w:pPr>
        <w:pBdr/>
        <w:spacing/>
        <w:ind w:left="36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</w:r>
      <w:r>
        <w:rPr>
          <w:rFonts w:ascii="Arial" w:hAnsi="Arial" w:cs="Arial"/>
          <w:i/>
          <w:iCs/>
          <w:sz w:val="22"/>
          <w:szCs w:val="22"/>
        </w:rPr>
      </w:r>
    </w:p>
    <w:p>
      <w:pPr>
        <w:numPr>
          <w:ilvl w:val="0"/>
          <w:numId w:val="4"/>
        </w:numPr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zvláštních sběrných nádob je zakázáno ukládat jin</w:t>
      </w:r>
      <w:r>
        <w:rPr>
          <w:rFonts w:ascii="Arial" w:hAnsi="Arial" w:cs="Arial"/>
          <w:sz w:val="22"/>
          <w:szCs w:val="22"/>
        </w:rPr>
        <w:t xml:space="preserve">é složky komunálních odpadů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než</w:t>
      </w:r>
      <w:r>
        <w:rPr>
          <w:rFonts w:ascii="Arial" w:hAnsi="Arial" w:cs="Arial"/>
          <w:sz w:val="22"/>
          <w:szCs w:val="22"/>
        </w:rPr>
        <w:t xml:space="preserve"> pro které jsou určeny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numPr>
          <w:ilvl w:val="0"/>
          <w:numId w:val="4"/>
        </w:numPr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</w:t>
      </w:r>
      <w:r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35"/>
        <w:numPr>
          <w:ilvl w:val="0"/>
          <w:numId w:val="4"/>
        </w:numPr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Oddělené soustřeďování papíru, plastů, nápojových kartonů a kovů je zajišťováno prostřednictvím sběrných pytlů</w:t>
      </w:r>
      <w:r>
        <w:rPr>
          <w:rFonts w:ascii="Arial" w:hAnsi="Arial" w:cs="Arial"/>
        </w:rPr>
        <w:t xml:space="preserve"> označených nápisem</w:t>
      </w:r>
      <w:r>
        <w:rPr>
          <w:rFonts w:ascii="Arial" w:hAnsi="Arial" w:cs="Arial"/>
        </w:rPr>
        <w:t xml:space="preserve">. Sběrné pytle na papír, plasty, nápojové kartony a kovy pro třídění v domácnostech jsou k dispozici na obecním úřadě na vyžádání zdarma</w:t>
      </w:r>
      <w:r>
        <w:rPr>
          <w:rFonts w:ascii="Arial" w:hAnsi="Arial" w:cs="Arial"/>
        </w:rPr>
        <w:t xml:space="preserve">. Stanoviště naplněných sběrných pytlů je u sběrných nádob (popelnice) na směsný komunální odpad podle čl. 6 této vyhlášky. Termíny svozu sběrných pytlů jsou zveřejňovány na webových stránkách obce a prostřednictvím SMS zpráv. Svoz je zpravidla 1x měsíčně.</w:t>
      </w:r>
      <w:r>
        <w:rPr>
          <w:rFonts w:ascii="Arial" w:hAnsi="Arial" w:cs="Arial"/>
        </w:rPr>
      </w:r>
    </w:p>
    <w:p>
      <w:pPr>
        <w:numPr>
          <w:ilvl w:val="0"/>
          <w:numId w:val="4"/>
        </w:numPr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Biologický odpad</w:t>
      </w:r>
      <w:r>
        <w:rPr>
          <w:rFonts w:ascii="Arial" w:hAnsi="Arial" w:cs="Arial"/>
          <w:sz w:val="22"/>
          <w:szCs w:val="22"/>
        </w:rPr>
        <w:t xml:space="preserve"> lze odvážet </w:t>
      </w:r>
      <w:r>
        <w:rPr>
          <w:rFonts w:ascii="Arial" w:hAnsi="Arial" w:cs="Arial"/>
          <w:sz w:val="22"/>
          <w:szCs w:val="22"/>
        </w:rPr>
        <w:t xml:space="preserve">do</w:t>
      </w:r>
      <w:r>
        <w:rPr>
          <w:rFonts w:ascii="Arial" w:hAnsi="Arial" w:cs="Arial"/>
          <w:sz w:val="22"/>
          <w:szCs w:val="22"/>
        </w:rPr>
        <w:t xml:space="preserve"> kompostárn</w:t>
      </w:r>
      <w:r>
        <w:rPr>
          <w:rFonts w:ascii="Arial" w:hAnsi="Arial" w:cs="Arial"/>
          <w:sz w:val="22"/>
          <w:szCs w:val="22"/>
        </w:rPr>
        <w:t xml:space="preserve">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</w:t>
      </w:r>
      <w:r>
        <w:rPr>
          <w:rFonts w:ascii="Arial" w:hAnsi="Arial" w:cs="Arial"/>
          <w:sz w:val="22"/>
          <w:szCs w:val="22"/>
        </w:rPr>
        <w:t xml:space="preserve">velkokapacitní</w:t>
      </w:r>
      <w:r>
        <w:rPr>
          <w:rFonts w:ascii="Arial" w:hAnsi="Arial" w:cs="Arial"/>
          <w:sz w:val="22"/>
          <w:szCs w:val="22"/>
        </w:rPr>
        <w:t xml:space="preserve">m</w:t>
      </w:r>
      <w:r>
        <w:rPr>
          <w:rFonts w:ascii="Arial" w:hAnsi="Arial" w:cs="Arial"/>
          <w:sz w:val="22"/>
          <w:szCs w:val="22"/>
        </w:rPr>
        <w:t xml:space="preserve"> kravín</w:t>
      </w:r>
      <w:r>
        <w:rPr>
          <w:rFonts w:ascii="Arial" w:hAnsi="Arial" w:cs="Arial"/>
          <w:sz w:val="22"/>
          <w:szCs w:val="22"/>
        </w:rPr>
        <w:t xml:space="preserve">ě na okraji obce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</w:p>
    <w:p>
      <w:pPr>
        <w:pStyle w:val="841"/>
        <w:pBdr/>
        <w:spacing/>
        <w:ind w:left="360"/>
        <w:rPr/>
      </w:pPr>
      <w:r/>
      <w:r/>
    </w:p>
    <w:p>
      <w:pPr>
        <w:pStyle w:val="820"/>
        <w:pBdr/>
        <w:spacing/>
        <w:ind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4</w:t>
      </w:r>
      <w:r>
        <w:rPr>
          <w:rFonts w:ascii="Arial" w:hAnsi="Arial" w:cs="Arial"/>
          <w:b/>
          <w:bCs/>
          <w:sz w:val="22"/>
          <w:szCs w:val="22"/>
          <w:u w:val="none"/>
        </w:rPr>
      </w:r>
    </w:p>
    <w:p>
      <w:pPr>
        <w:pStyle w:val="820"/>
        <w:pBdr/>
        <w:spacing/>
        <w:ind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nebezpečných složek komunálního odpadu</w:t>
      </w:r>
      <w:r>
        <w:rPr>
          <w:rFonts w:ascii="Arial" w:hAnsi="Arial" w:cs="Arial"/>
          <w:b/>
          <w:bCs/>
          <w:sz w:val="22"/>
          <w:szCs w:val="22"/>
          <w:u w:val="none"/>
        </w:rPr>
      </w:r>
    </w:p>
    <w:p>
      <w:pPr>
        <w:pBdr/>
        <w:spacing/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numPr>
          <w:ilvl w:val="0"/>
          <w:numId w:val="15"/>
        </w:numPr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</w:t>
      </w:r>
      <w:r>
        <w:rPr>
          <w:rFonts w:ascii="Arial" w:hAnsi="Arial" w:cs="Arial"/>
          <w:sz w:val="22"/>
          <w:szCs w:val="22"/>
        </w:rPr>
        <w:t xml:space="preserve"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zajišťován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 xml:space="preserve">svozu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jsou zveřejňovány na webových stránkách obce, formou zasílání SMS zpráv a v místním rozhlase.</w:t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numPr>
          <w:ilvl w:val="0"/>
          <w:numId w:val="15"/>
        </w:numPr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</w:t>
      </w:r>
      <w:r>
        <w:rPr>
          <w:rFonts w:ascii="Arial" w:hAnsi="Arial" w:cs="Arial"/>
          <w:sz w:val="22"/>
          <w:szCs w:val="22"/>
        </w:rPr>
        <w:t xml:space="preserve"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 xml:space="preserve">m</w:t>
      </w:r>
      <w:r>
        <w:rPr>
          <w:rFonts w:ascii="Arial" w:hAnsi="Arial" w:cs="Arial"/>
          <w:sz w:val="22"/>
          <w:szCs w:val="22"/>
        </w:rPr>
        <w:t xml:space="preserve"> v čl.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3 odst. 4</w:t>
      </w:r>
      <w:r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 xml:space="preserve">5</w:t>
      </w:r>
      <w:r>
        <w:rPr>
          <w:rFonts w:ascii="Arial" w:hAnsi="Arial" w:cs="Arial"/>
          <w:b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S</w:t>
      </w:r>
      <w:r>
        <w:rPr>
          <w:rFonts w:ascii="Arial" w:hAnsi="Arial" w:cs="Arial"/>
          <w:b/>
          <w:sz w:val="22"/>
          <w:szCs w:val="22"/>
        </w:rPr>
        <w:t xml:space="preserve">voz objemného odpadu</w:t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</w:r>
      <w:r>
        <w:rPr>
          <w:rFonts w:ascii="Arial" w:hAnsi="Arial" w:cs="Arial"/>
          <w:b/>
          <w:sz w:val="22"/>
          <w:szCs w:val="22"/>
          <w:u w:val="single"/>
        </w:rPr>
      </w:r>
    </w:p>
    <w:p>
      <w:pPr>
        <w:numPr>
          <w:ilvl w:val="0"/>
          <w:numId w:val="7"/>
        </w:numPr>
        <w:pBdr/>
        <w:spacing/>
        <w:ind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</w:t>
      </w:r>
      <w:r>
        <w:rPr>
          <w:rFonts w:ascii="Arial" w:hAnsi="Arial" w:cs="Arial"/>
          <w:sz w:val="22"/>
          <w:szCs w:val="22"/>
        </w:rPr>
        <w:t xml:space="preserve">voz objemného odpadu je zajišťován </w:t>
      </w:r>
      <w:r>
        <w:rPr>
          <w:rFonts w:ascii="Arial" w:hAnsi="Arial" w:cs="Arial"/>
          <w:sz w:val="22"/>
          <w:szCs w:val="22"/>
        </w:rPr>
        <w:t xml:space="preserve">dvakrát ročně</w:t>
      </w:r>
      <w:r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>
        <w:rPr>
          <w:rFonts w:ascii="Arial" w:hAnsi="Arial" w:cs="Arial"/>
          <w:sz w:val="22"/>
          <w:szCs w:val="22"/>
        </w:rPr>
        <w:t xml:space="preserve">svozu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jsou zveřejňovány na webových stránkách obce, formou zasílání SMS zpráv a v místním rozhlase.</w:t>
      </w:r>
      <w:r>
        <w:rPr>
          <w:rFonts w:ascii="Arial" w:hAnsi="Arial" w:cs="Arial"/>
          <w:iCs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</w:r>
      <w:r>
        <w:rPr>
          <w:rFonts w:ascii="Arial" w:hAnsi="Arial" w:cs="Arial"/>
          <w:i/>
          <w:iCs/>
          <w:sz w:val="22"/>
          <w:szCs w:val="22"/>
        </w:rPr>
      </w:r>
    </w:p>
    <w:p>
      <w:pPr>
        <w:numPr>
          <w:ilvl w:val="0"/>
          <w:numId w:val="7"/>
        </w:numPr>
        <w:pBdr/>
        <w:tabs>
          <w:tab w:val="left" w:leader="none" w:pos="567"/>
        </w:tabs>
        <w:spacing/>
        <w:ind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</w:t>
      </w:r>
      <w:r>
        <w:rPr>
          <w:rFonts w:ascii="Arial" w:hAnsi="Arial" w:cs="Arial"/>
          <w:sz w:val="22"/>
          <w:szCs w:val="22"/>
        </w:rPr>
        <w:t xml:space="preserve"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 xml:space="preserve">m</w:t>
      </w:r>
      <w:r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</w:t>
      </w:r>
      <w:r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</w:r>
    </w:p>
    <w:p>
      <w:pPr>
        <w:pBdr/>
        <w:tabs>
          <w:tab w:val="left" w:leader="none" w:pos="567"/>
        </w:tabs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tabs>
          <w:tab w:val="left" w:leader="none" w:pos="567"/>
        </w:tabs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 xml:space="preserve">6</w:t>
      </w:r>
      <w:r>
        <w:rPr>
          <w:rFonts w:ascii="Arial" w:hAnsi="Arial" w:cs="Arial"/>
          <w:b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</w:t>
      </w:r>
      <w:r>
        <w:rPr>
          <w:rFonts w:ascii="Arial" w:hAnsi="Arial" w:cs="Arial"/>
          <w:b/>
          <w:sz w:val="22"/>
          <w:szCs w:val="22"/>
        </w:rPr>
        <w:t xml:space="preserve">oustřeďování</w:t>
      </w:r>
      <w:r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>
        <w:rPr>
          <w:rFonts w:ascii="Arial" w:hAnsi="Arial" w:cs="Arial"/>
          <w:b/>
          <w:sz w:val="22"/>
          <w:szCs w:val="22"/>
        </w:rPr>
        <w:t xml:space="preserve">odpadu </w:t>
      </w:r>
      <w:r>
        <w:rPr>
          <w:rFonts w:ascii="Arial" w:hAnsi="Arial" w:cs="Arial"/>
          <w:b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widowControl w:val="false"/>
        <w:numPr>
          <w:ilvl w:val="0"/>
          <w:numId w:val="28"/>
        </w:numPr>
        <w:pBdr/>
        <w:spacing/>
        <w:ind w:hanging="426"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>
        <w:rPr>
          <w:rFonts w:ascii="Arial" w:hAnsi="Arial" w:cs="Arial"/>
          <w:sz w:val="22"/>
          <w:szCs w:val="22"/>
        </w:rPr>
        <w:t xml:space="preserve">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 xml:space="preserve">: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>
        <w:rPr>
          <w:rFonts w:ascii="Arial" w:hAnsi="Arial" w:cs="Arial"/>
          <w:strike/>
          <w:color w:val="00b0f0"/>
          <w:sz w:val="22"/>
          <w:szCs w:val="22"/>
        </w:rPr>
      </w:r>
    </w:p>
    <w:p>
      <w:pPr>
        <w:numPr>
          <w:ilvl w:val="0"/>
          <w:numId w:val="2"/>
        </w:numPr>
        <w:pBdr/>
        <w:spacing/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t</w:t>
      </w:r>
      <w:r>
        <w:rPr>
          <w:rFonts w:ascii="Arial" w:hAnsi="Arial" w:cs="Arial"/>
          <w:bCs/>
          <w:iCs/>
          <w:sz w:val="22"/>
          <w:szCs w:val="22"/>
        </w:rPr>
        <w:t xml:space="preserve">ypizované sběrné nádoby – popelnice,</w:t>
      </w:r>
      <w:r>
        <w:rPr>
          <w:rFonts w:ascii="Arial" w:hAnsi="Arial" w:cs="Arial"/>
          <w:iCs/>
          <w:sz w:val="22"/>
          <w:szCs w:val="22"/>
        </w:rPr>
      </w:r>
    </w:p>
    <w:p>
      <w:pPr>
        <w:numPr>
          <w:ilvl w:val="0"/>
          <w:numId w:val="2"/>
        </w:numPr>
        <w:pBdr/>
        <w:spacing/>
        <w:ind w:firstLine="0"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sběrné (plastové) pytle, stanoviště sběrných pytlů je vedle sběrných nádob na směsný komunální odpad,</w:t>
      </w:r>
      <w:r>
        <w:rPr>
          <w:rFonts w:ascii="Arial" w:hAnsi="Arial" w:cs="Arial"/>
          <w:iCs/>
          <w:sz w:val="22"/>
          <w:szCs w:val="22"/>
        </w:rPr>
      </w:r>
    </w:p>
    <w:p>
      <w:pPr>
        <w:numPr>
          <w:ilvl w:val="0"/>
          <w:numId w:val="2"/>
        </w:numPr>
        <w:pBdr/>
        <w:spacing/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odpadkové koše</w:t>
      </w:r>
      <w:r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</w:t>
      </w:r>
      <w:r>
        <w:rPr>
          <w:rFonts w:ascii="Arial" w:hAnsi="Arial" w:cs="Arial"/>
          <w:iCs/>
          <w:sz w:val="22"/>
          <w:szCs w:val="22"/>
        </w:rPr>
      </w:r>
    </w:p>
    <w:p>
      <w:pPr>
        <w:pBdr/>
        <w:spacing/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</w:t>
      </w:r>
      <w:r>
        <w:rPr>
          <w:rFonts w:ascii="Arial" w:hAnsi="Arial" w:cs="Arial"/>
          <w:iCs/>
          <w:sz w:val="22"/>
          <w:szCs w:val="22"/>
        </w:rPr>
        <w:t xml:space="preserve">pro odkládání drobného směsného komunálního odpadu.</w:t>
      </w:r>
      <w:r>
        <w:rPr>
          <w:rFonts w:ascii="Arial" w:hAnsi="Arial" w:cs="Arial"/>
          <w:iCs/>
          <w:sz w:val="22"/>
          <w:szCs w:val="22"/>
        </w:rPr>
      </w:r>
    </w:p>
    <w:p>
      <w:pPr>
        <w:pBdr/>
        <w:spacing/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</w:r>
      <w:r>
        <w:rPr>
          <w:rFonts w:ascii="Arial" w:hAnsi="Arial" w:cs="Arial"/>
          <w:iCs/>
          <w:sz w:val="22"/>
          <w:szCs w:val="22"/>
        </w:rPr>
      </w:r>
    </w:p>
    <w:p>
      <w:pPr>
        <w:numPr>
          <w:ilvl w:val="0"/>
          <w:numId w:val="28"/>
        </w:numPr>
        <w:pBdr/>
        <w:spacing/>
        <w:ind w:hanging="426" w:left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</w:t>
      </w:r>
      <w:r>
        <w:rPr>
          <w:rFonts w:ascii="Arial" w:hAnsi="Arial" w:cs="Arial"/>
          <w:sz w:val="22"/>
          <w:szCs w:val="22"/>
        </w:rPr>
        <w:t xml:space="preserve">oustřeďování</w:t>
      </w:r>
      <w:r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</w:t>
      </w:r>
      <w:r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5. </w:t>
      </w:r>
      <w:r>
        <w:rPr>
          <w:rFonts w:ascii="Arial" w:hAnsi="Arial" w:cs="Arial"/>
          <w:color w:val="00b0f0"/>
          <w:sz w:val="22"/>
          <w:szCs w:val="22"/>
        </w:rPr>
      </w:r>
    </w:p>
    <w:p>
      <w:pPr>
        <w:pBdr/>
        <w:spacing/>
        <w:ind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Bdr/>
        <w:spacing w:after="160" w:line="259" w:lineRule="auto"/>
        <w:ind/>
        <w:jc w:val="center"/>
        <w:rPr>
          <w:rFonts w:ascii="Arial" w:hAnsi="Arial" w:eastAsia="Calibri" w:cs="Arial"/>
          <w:b/>
          <w:sz w:val="22"/>
          <w:szCs w:val="22"/>
          <w:lang w:eastAsia="en-US"/>
        </w:rPr>
      </w:pPr>
      <w:r>
        <w:rPr>
          <w:rFonts w:ascii="Arial" w:hAnsi="Arial" w:eastAsia="Calibri" w:cs="Arial"/>
          <w:b/>
          <w:sz w:val="22"/>
          <w:szCs w:val="22"/>
          <w:lang w:eastAsia="en-US"/>
        </w:rPr>
        <w:t xml:space="preserve">Čl. </w:t>
      </w:r>
      <w:r>
        <w:rPr>
          <w:rFonts w:ascii="Arial" w:hAnsi="Arial" w:eastAsia="Calibri" w:cs="Arial"/>
          <w:b/>
          <w:sz w:val="22"/>
          <w:szCs w:val="22"/>
          <w:lang w:eastAsia="en-US"/>
        </w:rPr>
        <w:t xml:space="preserve">7</w:t>
      </w:r>
      <w:r>
        <w:rPr>
          <w:rFonts w:ascii="Arial" w:hAnsi="Arial" w:eastAsia="Calibri" w:cs="Arial"/>
          <w:b/>
          <w:sz w:val="22"/>
          <w:szCs w:val="22"/>
          <w:lang w:eastAsia="en-US"/>
        </w:rPr>
      </w:r>
    </w:p>
    <w:p>
      <w:pPr>
        <w:pBdr/>
        <w:spacing w:after="160" w:line="259" w:lineRule="auto"/>
        <w:ind/>
        <w:jc w:val="center"/>
        <w:rPr>
          <w:rFonts w:ascii="Arial" w:hAnsi="Arial" w:eastAsia="Calibri" w:cs="Arial"/>
          <w:b/>
          <w:sz w:val="22"/>
          <w:szCs w:val="22"/>
          <w:lang w:eastAsia="en-US"/>
        </w:rPr>
      </w:pPr>
      <w:r>
        <w:rPr>
          <w:rFonts w:ascii="Arial" w:hAnsi="Arial" w:eastAsia="Calibri" w:cs="Arial"/>
          <w:b/>
          <w:sz w:val="22"/>
          <w:szCs w:val="22"/>
          <w:lang w:eastAsia="en-US"/>
        </w:rPr>
        <w:t xml:space="preserve">Nakládání se stavebním a demoličním odpadem</w:t>
      </w:r>
      <w:r>
        <w:rPr>
          <w:rFonts w:ascii="Arial" w:hAnsi="Arial" w:eastAsia="Calibri" w:cs="Arial"/>
          <w:b/>
          <w:sz w:val="22"/>
          <w:szCs w:val="22"/>
          <w:lang w:eastAsia="en-US"/>
        </w:rPr>
      </w:r>
    </w:p>
    <w:p>
      <w:pPr>
        <w:pBdr/>
        <w:spacing w:after="160" w:line="259" w:lineRule="auto"/>
        <w:ind w:hanging="284" w:left="284"/>
        <w:jc w:val="both"/>
        <w:rPr>
          <w:rFonts w:ascii="Arial" w:hAnsi="Arial" w:eastAsia="Calibri" w:cs="Arial"/>
          <w:sz w:val="22"/>
          <w:szCs w:val="22"/>
          <w:lang w:eastAsia="en-US"/>
        </w:rPr>
      </w:pPr>
      <w:r>
        <w:rPr>
          <w:rFonts w:ascii="Arial" w:hAnsi="Arial" w:eastAsia="Calibri" w:cs="Arial"/>
          <w:sz w:val="22"/>
          <w:szCs w:val="22"/>
          <w:lang w:eastAsia="en-US"/>
        </w:rPr>
        <w:t xml:space="preserve">1) Stavebním odpadem a demoličním odpadem se rozumí odpad vznikající při stavebních a</w:t>
      </w:r>
      <w:r>
        <w:rPr>
          <w:rFonts w:ascii="Arial" w:hAnsi="Arial" w:eastAsia="Calibri" w:cs="Arial"/>
          <w:sz w:val="22"/>
          <w:szCs w:val="22"/>
          <w:lang w:eastAsia="en-US"/>
        </w:rPr>
        <w:t xml:space="preserve"> </w:t>
      </w:r>
      <w:r>
        <w:rPr>
          <w:rFonts w:ascii="Arial" w:hAnsi="Arial" w:eastAsia="Calibri" w:cs="Arial"/>
          <w:sz w:val="22"/>
          <w:szCs w:val="22"/>
          <w:lang w:eastAsia="en-US"/>
        </w:rPr>
        <w:t xml:space="preserve">demoličních činnostech nepodnikajících fyzických osob. Stavební a demoliční odpad není odpadem komunálním. </w:t>
      </w:r>
      <w:r>
        <w:rPr>
          <w:rFonts w:ascii="Arial" w:hAnsi="Arial" w:eastAsia="Calibri" w:cs="Arial"/>
          <w:sz w:val="22"/>
          <w:szCs w:val="22"/>
          <w:lang w:eastAsia="en-US"/>
        </w:rPr>
      </w:r>
    </w:p>
    <w:p>
      <w:pPr>
        <w:pBdr/>
        <w:spacing w:after="160" w:line="259" w:lineRule="auto"/>
        <w:ind w:hanging="284" w:left="284"/>
        <w:jc w:val="both"/>
        <w:rPr>
          <w:rFonts w:ascii="Arial" w:hAnsi="Arial" w:eastAsia="Calibri" w:cs="Arial"/>
          <w:sz w:val="22"/>
          <w:szCs w:val="22"/>
          <w:lang w:eastAsia="en-US"/>
        </w:rPr>
      </w:pPr>
      <w:r>
        <w:rPr>
          <w:rFonts w:ascii="Arial" w:hAnsi="Arial" w:eastAsia="Calibri" w:cs="Arial"/>
          <w:sz w:val="22"/>
          <w:szCs w:val="22"/>
          <w:lang w:eastAsia="en-US"/>
        </w:rPr>
        <w:t xml:space="preserve">2) Stavební a demoliční odpad lze předávat pouze zákonem stanoveným způsobem. Svoz tohoto odpadu obec nezajišťuje.</w:t>
      </w:r>
      <w:r>
        <w:rPr>
          <w:rFonts w:ascii="Arial" w:hAnsi="Arial" w:eastAsia="Calibri" w:cs="Arial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 xml:space="preserve">8</w:t>
      </w:r>
      <w:r>
        <w:rPr>
          <w:rFonts w:ascii="Arial" w:hAnsi="Arial" w:cs="Arial"/>
          <w:b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Závěrečná ustanovení</w:t>
      </w:r>
      <w:r>
        <w:rPr>
          <w:rFonts w:ascii="Arial" w:hAnsi="Arial" w:cs="Arial"/>
          <w:b/>
          <w:sz w:val="22"/>
          <w:szCs w:val="22"/>
        </w:rPr>
      </w:r>
    </w:p>
    <w:p>
      <w:pPr>
        <w:pBdr/>
        <w:spacing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</w:r>
      <w:r>
        <w:rPr>
          <w:rFonts w:ascii="Arial" w:hAnsi="Arial" w:cs="Arial"/>
          <w:b/>
          <w:sz w:val="22"/>
          <w:szCs w:val="22"/>
          <w:u w:val="single"/>
        </w:rPr>
      </w:r>
    </w:p>
    <w:p>
      <w:pPr>
        <w:numPr>
          <w:ilvl w:val="0"/>
          <w:numId w:val="8"/>
        </w:numPr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Ruší se </w:t>
      </w:r>
      <w:r>
        <w:rPr>
          <w:rFonts w:ascii="Arial" w:hAnsi="Arial" w:cs="Arial"/>
          <w:sz w:val="22"/>
          <w:szCs w:val="22"/>
        </w:rPr>
        <w:t xml:space="preserve">o</w:t>
      </w:r>
      <w:r>
        <w:rPr>
          <w:rFonts w:ascii="Arial" w:hAnsi="Arial" w:cs="Arial"/>
          <w:sz w:val="22"/>
          <w:szCs w:val="22"/>
        </w:rPr>
        <w:t xml:space="preserve">becně závazná vyhláška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obce Dolany </w:t>
      </w:r>
      <w:r>
        <w:rPr>
          <w:rFonts w:ascii="Arial" w:hAnsi="Arial" w:cs="Arial"/>
          <w:sz w:val="22"/>
          <w:szCs w:val="22"/>
        </w:rPr>
        <w:t xml:space="preserve">č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</w:t>
      </w:r>
      <w:r>
        <w:rPr>
          <w:rFonts w:ascii="Arial" w:hAnsi="Arial" w:cs="Arial"/>
          <w:sz w:val="22"/>
          <w:szCs w:val="22"/>
        </w:rPr>
        <w:t xml:space="preserve">/</w:t>
      </w:r>
      <w:r>
        <w:rPr>
          <w:rFonts w:ascii="Arial" w:hAnsi="Arial" w:cs="Arial"/>
          <w:sz w:val="22"/>
          <w:szCs w:val="22"/>
        </w:rPr>
        <w:t xml:space="preserve">202</w:t>
      </w:r>
      <w:r>
        <w:rPr>
          <w:rFonts w:ascii="Arial" w:hAnsi="Arial" w:cs="Arial"/>
          <w:sz w:val="22"/>
          <w:szCs w:val="22"/>
        </w:rPr>
        <w:t xml:space="preserve">2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stanovení obecního systému odpadového hospodářství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 xml:space="preserve">3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srpna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20</w:t>
      </w:r>
      <w:r>
        <w:rPr>
          <w:rFonts w:ascii="Arial" w:hAnsi="Arial" w:cs="Arial"/>
          <w:sz w:val="22"/>
          <w:szCs w:val="22"/>
        </w:rPr>
        <w:t xml:space="preserve">2</w:t>
      </w:r>
      <w:r>
        <w:rPr>
          <w:rFonts w:ascii="Arial" w:hAnsi="Arial" w:cs="Arial"/>
          <w:sz w:val="22"/>
          <w:szCs w:val="22"/>
        </w:rPr>
        <w:t xml:space="preserve">2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numPr>
          <w:ilvl w:val="0"/>
          <w:numId w:val="8"/>
        </w:numPr>
        <w:pBdr/>
        <w:tabs>
          <w:tab w:val="num" w:leader="none" w:pos="540"/>
        </w:tabs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>
        <w:rPr>
          <w:rFonts w:ascii="Arial" w:hAnsi="Arial" w:cs="Arial"/>
          <w:sz w:val="22"/>
          <w:szCs w:val="22"/>
        </w:rPr>
        <w:t xml:space="preserve">počátkem patnáctého dne následujícího po dni jejího vyhlášení.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tabs>
          <w:tab w:val="num" w:leader="none" w:pos="540"/>
        </w:tabs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</w:r>
      <w:r>
        <w:rPr>
          <w:rFonts w:ascii="Arial" w:hAnsi="Arial" w:cs="Arial"/>
          <w:bCs/>
          <w:i/>
          <w:sz w:val="22"/>
          <w:szCs w:val="22"/>
        </w:rPr>
      </w:r>
    </w:p>
    <w:p>
      <w:pPr>
        <w:pBdr/>
        <w:spacing/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</w:r>
    </w:p>
    <w:tbl>
      <w:tblPr>
        <w:tblW w:w="9641" w:type="dxa"/>
        <w:tblBorders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>
        <w:trPr>
          <w:trHeight w:val="1134" w:hRule="exact"/>
        </w:trPr>
        <w:tc>
          <w:tcPr>
            <w:shd w:val="clear" w:color="auto" w:fill="auto"/>
            <w:tcBorders/>
            <w:tcMar>
              <w:left w:w="55" w:type="dxa"/>
              <w:top w:w="55" w:type="dxa"/>
              <w:right w:w="55" w:type="dxa"/>
              <w:bottom w:w="55" w:type="dxa"/>
            </w:tcMar>
            <w:tcW w:w="4820" w:type="dxa"/>
            <w:vAlign w:val="bottom"/>
            <w:textDirection w:val="lrTb"/>
            <w:noWrap w:val="false"/>
          </w:tcPr>
          <w:p>
            <w:pPr>
              <w:widowControl w:val="false"/>
              <w:suppressLineNumbers w:val="true"/>
              <w:pBdr/>
              <w:spacing/>
              <w:ind/>
              <w:jc w:val="center"/>
              <w:rPr>
                <w:rFonts w:ascii="Arial" w:hAnsi="Arial" w:eastAsia="Arial" w:cs="Arial"/>
                <w:sz w:val="22"/>
                <w:szCs w:val="22"/>
                <w:lang w:eastAsia="zh-CN" w:bidi="hi-IN"/>
              </w:rPr>
            </w:pPr>
            <w:r>
              <w:rPr>
                <w:rFonts w:ascii="Arial" w:hAnsi="Arial" w:eastAsia="Arial" w:cs="Arial"/>
                <w:sz w:val="22"/>
                <w:szCs w:val="22"/>
                <w:lang w:eastAsia="zh-CN" w:bidi="hi-IN"/>
              </w:rPr>
              <w:t xml:space="preserve">MUDr. Renáta Švadlenková v. r.</w:t>
            </w:r>
            <w:r>
              <w:rPr>
                <w:rFonts w:ascii="Arial" w:hAnsi="Arial" w:eastAsia="Arial" w:cs="Arial"/>
                <w:sz w:val="22"/>
                <w:szCs w:val="22"/>
                <w:lang w:eastAsia="zh-CN" w:bidi="hi-IN"/>
              </w:rPr>
              <w:br/>
              <w:t xml:space="preserve"> starostka</w:t>
            </w:r>
            <w:r>
              <w:rPr>
                <w:rFonts w:ascii="Arial" w:hAnsi="Arial" w:eastAsia="Arial" w:cs="Arial"/>
                <w:sz w:val="22"/>
                <w:szCs w:val="22"/>
                <w:lang w:eastAsia="zh-CN" w:bidi="hi-IN"/>
              </w:rPr>
            </w:r>
          </w:p>
        </w:tc>
        <w:tc>
          <w:tcPr>
            <w:shd w:val="clear" w:color="auto" w:fill="auto"/>
            <w:tcBorders/>
            <w:tcMar>
              <w:left w:w="55" w:type="dxa"/>
              <w:top w:w="55" w:type="dxa"/>
              <w:right w:w="55" w:type="dxa"/>
              <w:bottom w:w="55" w:type="dxa"/>
            </w:tcMar>
            <w:tcW w:w="4821" w:type="dxa"/>
            <w:vAlign w:val="bottom"/>
            <w:textDirection w:val="lrTb"/>
            <w:noWrap w:val="false"/>
          </w:tcPr>
          <w:p>
            <w:pPr>
              <w:widowControl w:val="false"/>
              <w:suppressLineNumbers w:val="true"/>
              <w:pBdr/>
              <w:spacing/>
              <w:ind/>
              <w:jc w:val="center"/>
              <w:rPr>
                <w:rFonts w:ascii="Arial" w:hAnsi="Arial" w:eastAsia="Arial" w:cs="Arial"/>
                <w:sz w:val="22"/>
                <w:szCs w:val="22"/>
                <w:lang w:eastAsia="zh-CN" w:bidi="hi-IN"/>
              </w:rPr>
            </w:pPr>
            <w:r>
              <w:rPr>
                <w:rFonts w:ascii="Arial" w:hAnsi="Arial" w:eastAsia="Arial" w:cs="Arial"/>
                <w:sz w:val="22"/>
                <w:szCs w:val="22"/>
                <w:lang w:eastAsia="zh-CN" w:bidi="hi-IN"/>
              </w:rPr>
              <w:t xml:space="preserve">Marcela Ambrusová v. r.</w:t>
            </w:r>
            <w:r>
              <w:rPr>
                <w:rFonts w:ascii="Arial" w:hAnsi="Arial" w:eastAsia="Arial" w:cs="Arial"/>
                <w:sz w:val="22"/>
                <w:szCs w:val="22"/>
                <w:lang w:eastAsia="zh-CN" w:bidi="hi-IN"/>
              </w:rPr>
              <w:br/>
              <w:t xml:space="preserve"> místostarostka</w:t>
            </w:r>
            <w:r>
              <w:rPr>
                <w:rFonts w:ascii="Arial" w:hAnsi="Arial" w:eastAsia="Arial" w:cs="Arial"/>
                <w:sz w:val="22"/>
                <w:szCs w:val="22"/>
                <w:lang w:eastAsia="zh-CN" w:bidi="hi-IN"/>
              </w:rPr>
            </w:r>
          </w:p>
        </w:tc>
      </w:tr>
    </w:tbl>
    <w:p>
      <w:p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sectPr>
      <w:footerReference w:type="default" r:id="rId9"/>
      <w:footnotePr/>
      <w:endnotePr/>
      <w:type w:val="nextPage"/>
      <w:pgSz w:h="16838" w:orient="portrait" w:w="11906"/>
      <w:pgMar w:top="851" w:right="1418" w:bottom="1985" w:left="1418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506030602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9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</w:t>
    </w:r>
    <w:r>
      <w:fldChar w:fldCharType="end"/>
    </w:r>
    <w:r/>
  </w:p>
  <w:p>
    <w:pPr>
      <w:pStyle w:val="83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  <w:footnote w:id="2">
    <w:p>
      <w:pPr>
        <w:pStyle w:val="828"/>
        <w:pBdr/>
        <w:spacing/>
        <w:ind/>
        <w:rPr>
          <w:rFonts w:ascii="Arial" w:hAnsi="Arial" w:cs="Arial"/>
        </w:rPr>
      </w:pPr>
      <w:r>
        <w:rPr>
          <w:rStyle w:val="829"/>
          <w:rFonts w:ascii="Arial" w:hAnsi="Arial" w:cs="Arial"/>
        </w:rPr>
        <w:footnoteRef/>
      </w:r>
      <w:r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dpadech</w:t>
      </w:r>
      <w:r>
        <w:rPr>
          <w:rFonts w:ascii="Arial" w:hAnsi="Arial" w:cs="Arial"/>
        </w:rPr>
      </w:r>
    </w:p>
  </w:footnote>
  <w:footnote w:id="3">
    <w:p>
      <w:pPr>
        <w:pStyle w:val="828"/>
        <w:pBdr/>
        <w:spacing/>
        <w:ind/>
        <w:rPr/>
      </w:pPr>
      <w:r>
        <w:rPr>
          <w:rStyle w:val="829"/>
          <w:rFonts w:ascii="Arial" w:hAnsi="Arial" w:cs="Arial"/>
        </w:rPr>
        <w:footnoteRef/>
      </w:r>
      <w:r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 xml:space="preserve">60 zákona</w:t>
      </w:r>
      <w:r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dpadech</w:t>
      </w:r>
      <w:r/>
    </w:p>
  </w:footnote>
  <w:footnote w:id="4">
    <w:p>
      <w:pPr>
        <w:pStyle w:val="828"/>
        <w:pBdr/>
        <w:spacing/>
        <w:ind/>
        <w:rPr>
          <w:rFonts w:ascii="Arial" w:hAnsi="Arial" w:cs="Arial"/>
        </w:rPr>
      </w:pPr>
      <w:r>
        <w:rPr>
          <w:rStyle w:val="829"/>
          <w:rFonts w:ascii="Arial" w:hAnsi="Arial" w:cs="Arial"/>
        </w:rPr>
        <w:t xml:space="preserve">3</w:t>
      </w:r>
      <w:r>
        <w:rPr>
          <w:rFonts w:ascii="Arial" w:hAnsi="Arial" w:cs="Arial"/>
        </w:rPr>
        <w:t xml:space="preserve"> Do sběrné nádoby se odkládají v uzavřené plastové láhvi o maximálním objemu 2 litry.</w:t>
      </w:r>
      <w:r>
        <w:rPr>
          <w:rFonts w:ascii="Arial" w:hAnsi="Arial" w:cs="Arial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800"/>
        </w:tabs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3960"/>
        </w:tabs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120"/>
        </w:tabs>
        <w:spacing/>
        <w:ind w:hanging="180" w:left="6120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)"/>
      <w:numFmt w:val="lowerLetter"/>
      <w:pPr>
        <w:pBdr/>
        <w:tabs>
          <w:tab w:val="num" w:leader="none" w:pos="360"/>
        </w:tabs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800"/>
        </w:tabs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3960"/>
        </w:tabs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120"/>
        </w:tabs>
        <w:spacing/>
        <w:ind w:hanging="180" w:left="6120"/>
      </w:pPr>
      <w:rPr/>
      <w:start w:val="1"/>
      <w:suff w:val="tab"/>
    </w:lvl>
  </w:abstractNum>
  <w:abstractNum w:abstractNumId="5">
    <w:lvl w:ilvl="0">
      <w:isLgl w:val="false"/>
      <w:lvlJc w:val="left"/>
      <w:lvlText w:val="%1)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6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)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800"/>
        </w:tabs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3960"/>
        </w:tabs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120"/>
        </w:tabs>
        <w:spacing/>
        <w:ind w:hanging="180" w:left="6120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11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)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800"/>
        </w:tabs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3960"/>
        </w:tabs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120"/>
        </w:tabs>
        <w:spacing/>
        <w:ind w:hanging="180" w:left="6120"/>
      </w:pPr>
      <w:rPr/>
      <w:start w:val="1"/>
      <w:suff w:val="tab"/>
    </w:lvl>
  </w:abstractNum>
  <w:abstractNum w:abstractNumId="13">
    <w:lvl w:ilvl="0">
      <w:isLgl w:val="false"/>
      <w:lvlJc w:val="left"/>
      <w:lvlText w:val="%1)"/>
      <w:numFmt w:val="decimal"/>
      <w:pPr>
        <w:pBdr/>
        <w:spacing/>
        <w:ind w:hanging="360" w:left="360"/>
      </w:pPr>
      <w:rPr>
        <w:rFonts w:hint="default"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14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strike w:val="0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)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800"/>
        </w:tabs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3960"/>
        </w:tabs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120"/>
        </w:tabs>
        <w:spacing/>
        <w:ind w:hanging="180" w:left="6120"/>
      </w:pPr>
      <w:rPr/>
      <w:start w:val="1"/>
      <w:suff w:val="tab"/>
    </w:lvl>
  </w:abstractNum>
  <w:abstractNum w:abstractNumId="16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)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800"/>
        </w:tabs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3960"/>
        </w:tabs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120"/>
        </w:tabs>
        <w:spacing/>
        <w:ind w:hanging="180" w:left="6120"/>
      </w:pPr>
      <w:rPr/>
      <w:start w:val="1"/>
      <w:suff w:val="tab"/>
    </w:lvl>
  </w:abstractNum>
  <w:abstractNum w:abstractNumId="19">
    <w:lvl w:ilvl="0">
      <w:isLgl w:val="false"/>
      <w:lvlJc w:val="left"/>
      <w:lvlText w:val="%1)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800"/>
        </w:tabs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3960"/>
        </w:tabs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120"/>
        </w:tabs>
        <w:spacing/>
        <w:ind w:hanging="180" w:left="6120"/>
      </w:pPr>
      <w:rPr/>
      <w:start w:val="1"/>
      <w:suff w:val="tab"/>
    </w:lvl>
  </w:abstractNum>
  <w:abstractNum w:abstractNumId="20">
    <w:lvl w:ilvl="0">
      <w:isLgl w:val="false"/>
      <w:lvlJc w:val="left"/>
      <w:lvlText w:val="%1)"/>
      <w:numFmt w:val="lowerLetter"/>
      <w:pPr>
        <w:pBdr/>
        <w:tabs>
          <w:tab w:val="num" w:leader="none" w:pos="360"/>
        </w:tabs>
        <w:spacing/>
        <w:ind w:hanging="360" w:left="360"/>
      </w:pPr>
      <w:rPr>
        <w:rFonts w:ascii="Arial" w:hAnsi="Arial" w:eastAsia="Times New Roman" w:cs="Arial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800"/>
        </w:tabs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3960"/>
        </w:tabs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120"/>
        </w:tabs>
        <w:spacing/>
        <w:ind w:hanging="180" w:left="6120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22">
    <w:lvl w:ilvl="0">
      <w:isLgl w:val="false"/>
      <w:lvlJc w:val="left"/>
      <w:lvlText w:val="%1)"/>
      <w:numFmt w:val="lowerLetter"/>
      <w:pPr>
        <w:pBdr/>
        <w:spacing/>
        <w:ind w:hanging="360" w:left="786"/>
      </w:pPr>
      <w:rPr>
        <w:rFonts w:hint="default" w:eastAsia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>
        <w:rFonts w:cs="Times New Roman"/>
      </w:rPr>
      <w:start w:val="1"/>
      <w:suff w:val="tab"/>
    </w:lvl>
  </w:abstractNum>
  <w:abstractNum w:abstractNumId="23">
    <w:lvl w:ilvl="0">
      <w:isLgl w:val="false"/>
      <w:lvlJc w:val="left"/>
      <w:lvlText w:val="%1)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hint="default"/>
        <w:b w:val="0"/>
        <w:u w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800"/>
        </w:tabs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3960"/>
        </w:tabs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120"/>
        </w:tabs>
        <w:spacing/>
        <w:ind w:hanging="180" w:left="6120"/>
      </w:pPr>
      <w:rPr/>
      <w:start w:val="1"/>
      <w:suff w:val="tab"/>
    </w:lvl>
  </w:abstractNum>
  <w:abstractNum w:abstractNumId="24">
    <w:lvl w:ilvl="0">
      <w:isLgl w:val="false"/>
      <w:lvlJc w:val="left"/>
      <w:lvlText w:val="%1)"/>
      <w:numFmt w:val="lowerLetter"/>
      <w:pPr>
        <w:pBdr/>
        <w:spacing/>
        <w:ind w:hanging="360" w:left="1776"/>
      </w:pPr>
      <w:rPr>
        <w:rFonts w:hint="default"/>
      </w:rPr>
      <w:start w:val="8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4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2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9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6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3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0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8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536"/>
      </w:pPr>
      <w:rPr/>
      <w:start w:val="1"/>
      <w:suff w:val="tab"/>
    </w:lvl>
  </w:abstractNum>
  <w:abstractNum w:abstractNumId="25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%1)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800"/>
        </w:tabs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3960"/>
        </w:tabs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120"/>
        </w:tabs>
        <w:spacing/>
        <w:ind w:hanging="180" w:left="6120"/>
      </w:pPr>
      <w:rPr/>
      <w:start w:val="1"/>
      <w:suff w:val="tab"/>
    </w:lvl>
  </w:abstractNum>
  <w:abstractNum w:abstractNumId="27">
    <w:lvl w:ilvl="0">
      <w:isLgl w:val="false"/>
      <w:lvlJc w:val="left"/>
      <w:lvlText w:val="%1)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8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lvl w:ilvl="0">
      <w:isLgl w:val="false"/>
      <w:lvlJc w:val="left"/>
      <w:lvlText w:val="%1)"/>
      <w:numFmt w:val="decimal"/>
      <w:pPr>
        <w:pBdr/>
        <w:spacing/>
        <w:ind w:hanging="360" w:left="360"/>
      </w:pPr>
      <w:rPr>
        <w:rFonts w:hint="default"/>
        <w:strike w:val="0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30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1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2">
    <w:lvl w:ilvl="0">
      <w:isLgl w:val="false"/>
      <w:lvlJc w:val="left"/>
      <w:lvlText w:val="%1)"/>
      <w:numFmt w:val="lowerLetter"/>
      <w:pPr>
        <w:pBdr/>
        <w:tabs>
          <w:tab w:val="num" w:leader="none" w:pos="360"/>
        </w:tabs>
        <w:spacing/>
        <w:ind w:hanging="360" w:left="360"/>
      </w:pPr>
      <w:rPr>
        <w:rFonts w:ascii="Arial" w:hAnsi="Arial" w:eastAsia="Times New Roman" w:cs="Arial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800"/>
        </w:tabs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3960"/>
        </w:tabs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120"/>
        </w:tabs>
        <w:spacing/>
        <w:ind w:hanging="180" w:left="6120"/>
      </w:pPr>
      <w:rPr/>
      <w:start w:val="1"/>
      <w:suff w:val="tab"/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1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7"/>
  </w:num>
  <w:num w:numId="20">
    <w:abstractNumId w:val="25"/>
  </w:num>
  <w:num w:numId="21">
    <w:abstractNumId w:val="18"/>
  </w:num>
  <w:num w:numId="22">
    <w:abstractNumId w:val="19"/>
  </w:num>
  <w:num w:numId="23">
    <w:abstractNumId w:val="12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30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cs-CZ" w:eastAsia="cs-CZ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82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82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82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82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8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8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8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8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8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8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8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819"/>
    <w:next w:val="81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3"/>
    <w:basedOn w:val="819"/>
    <w:next w:val="81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819"/>
    <w:next w:val="81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819"/>
    <w:next w:val="81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819"/>
    <w:next w:val="81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819"/>
    <w:next w:val="81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819"/>
    <w:next w:val="81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819"/>
    <w:next w:val="81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821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821"/>
    <w:link w:val="82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82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821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821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821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82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82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82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819"/>
    <w:next w:val="81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821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819"/>
    <w:next w:val="81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821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819"/>
    <w:next w:val="81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82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82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819"/>
    <w:next w:val="81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82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2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81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82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2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2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2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2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821"/>
    <w:link w:val="826"/>
    <w:uiPriority w:val="99"/>
    <w:pPr>
      <w:pBdr/>
      <w:spacing/>
      <w:ind/>
    </w:pPr>
  </w:style>
  <w:style w:type="character" w:styleId="178">
    <w:name w:val="Footer Char"/>
    <w:basedOn w:val="821"/>
    <w:link w:val="839"/>
    <w:uiPriority w:val="99"/>
    <w:pPr>
      <w:pBdr/>
      <w:spacing/>
      <w:ind/>
    </w:pPr>
  </w:style>
  <w:style w:type="paragraph" w:styleId="179">
    <w:name w:val="Caption"/>
    <w:basedOn w:val="819"/>
    <w:next w:val="81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181">
    <w:name w:val="Footnote Text Char"/>
    <w:basedOn w:val="821"/>
    <w:link w:val="828"/>
    <w:uiPriority w:val="99"/>
    <w:semiHidden/>
    <w:pPr>
      <w:pBdr/>
      <w:spacing/>
      <w:ind/>
    </w:pPr>
    <w:rPr>
      <w:sz w:val="20"/>
      <w:szCs w:val="20"/>
    </w:rPr>
  </w:style>
  <w:style w:type="paragraph" w:styleId="183">
    <w:name w:val="endnote text"/>
    <w:basedOn w:val="81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82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821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82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819"/>
    <w:next w:val="819"/>
    <w:uiPriority w:val="39"/>
    <w:unhideWhenUsed/>
    <w:pPr>
      <w:pBdr/>
      <w:spacing w:after="100"/>
      <w:ind/>
    </w:pPr>
  </w:style>
  <w:style w:type="paragraph" w:styleId="189">
    <w:name w:val="toc 2"/>
    <w:basedOn w:val="819"/>
    <w:next w:val="819"/>
    <w:uiPriority w:val="39"/>
    <w:unhideWhenUsed/>
    <w:pPr>
      <w:pBdr/>
      <w:spacing w:after="100"/>
      <w:ind w:left="220"/>
    </w:pPr>
  </w:style>
  <w:style w:type="paragraph" w:styleId="190">
    <w:name w:val="toc 3"/>
    <w:basedOn w:val="819"/>
    <w:next w:val="819"/>
    <w:uiPriority w:val="39"/>
    <w:unhideWhenUsed/>
    <w:pPr>
      <w:pBdr/>
      <w:spacing w:after="100"/>
      <w:ind w:left="440"/>
    </w:pPr>
  </w:style>
  <w:style w:type="paragraph" w:styleId="191">
    <w:name w:val="toc 4"/>
    <w:basedOn w:val="819"/>
    <w:next w:val="819"/>
    <w:uiPriority w:val="39"/>
    <w:unhideWhenUsed/>
    <w:pPr>
      <w:pBdr/>
      <w:spacing w:after="100"/>
      <w:ind w:left="660"/>
    </w:pPr>
  </w:style>
  <w:style w:type="paragraph" w:styleId="192">
    <w:name w:val="toc 5"/>
    <w:basedOn w:val="819"/>
    <w:next w:val="819"/>
    <w:uiPriority w:val="39"/>
    <w:unhideWhenUsed/>
    <w:pPr>
      <w:pBdr/>
      <w:spacing w:after="100"/>
      <w:ind w:left="880"/>
    </w:pPr>
  </w:style>
  <w:style w:type="paragraph" w:styleId="193">
    <w:name w:val="toc 6"/>
    <w:basedOn w:val="819"/>
    <w:next w:val="819"/>
    <w:uiPriority w:val="39"/>
    <w:unhideWhenUsed/>
    <w:pPr>
      <w:pBdr/>
      <w:spacing w:after="100"/>
      <w:ind w:left="1100"/>
    </w:pPr>
  </w:style>
  <w:style w:type="paragraph" w:styleId="194">
    <w:name w:val="toc 7"/>
    <w:basedOn w:val="819"/>
    <w:next w:val="819"/>
    <w:uiPriority w:val="39"/>
    <w:unhideWhenUsed/>
    <w:pPr>
      <w:pBdr/>
      <w:spacing w:after="100"/>
      <w:ind w:left="1320"/>
    </w:pPr>
  </w:style>
  <w:style w:type="paragraph" w:styleId="195">
    <w:name w:val="toc 8"/>
    <w:basedOn w:val="819"/>
    <w:next w:val="819"/>
    <w:uiPriority w:val="39"/>
    <w:unhideWhenUsed/>
    <w:pPr>
      <w:pBdr/>
      <w:spacing w:after="100"/>
      <w:ind w:left="1540"/>
    </w:pPr>
  </w:style>
  <w:style w:type="paragraph" w:styleId="196">
    <w:name w:val="toc 9"/>
    <w:basedOn w:val="819"/>
    <w:next w:val="819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819"/>
    <w:next w:val="819"/>
    <w:uiPriority w:val="99"/>
    <w:unhideWhenUsed/>
    <w:pPr>
      <w:pBdr/>
      <w:spacing w:after="0" w:afterAutospacing="0"/>
      <w:ind/>
    </w:pPr>
  </w:style>
  <w:style w:type="paragraph" w:styleId="819" w:default="1">
    <w:name w:val="Normal"/>
    <w:qFormat/>
    <w:pPr>
      <w:pBdr/>
      <w:spacing/>
      <w:ind/>
    </w:pPr>
    <w:rPr>
      <w:sz w:val="24"/>
      <w:szCs w:val="24"/>
    </w:rPr>
  </w:style>
  <w:style w:type="paragraph" w:styleId="820">
    <w:name w:val="Heading 2"/>
    <w:basedOn w:val="819"/>
    <w:next w:val="819"/>
    <w:qFormat/>
    <w:pPr>
      <w:keepNext w:val="true"/>
      <w:pBdr/>
      <w:spacing/>
      <w:ind/>
      <w:jc w:val="both"/>
      <w:outlineLvl w:val="1"/>
    </w:pPr>
    <w:rPr>
      <w:szCs w:val="20"/>
      <w:u w:val="single"/>
    </w:rPr>
  </w:style>
  <w:style w:type="character" w:styleId="821" w:default="1">
    <w:name w:val="Default Paragraph Font"/>
    <w:uiPriority w:val="1"/>
    <w:semiHidden/>
    <w:unhideWhenUsed/>
    <w:pPr>
      <w:pBdr/>
      <w:spacing/>
      <w:ind/>
    </w:pPr>
  </w:style>
  <w:style w:type="table" w:styleId="82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3" w:default="1">
    <w:name w:val="No List"/>
    <w:uiPriority w:val="99"/>
    <w:semiHidden/>
    <w:unhideWhenUsed/>
    <w:pPr>
      <w:pBdr/>
      <w:spacing/>
      <w:ind/>
    </w:pPr>
  </w:style>
  <w:style w:type="paragraph" w:styleId="824">
    <w:name w:val="Body Text Indent"/>
    <w:basedOn w:val="819"/>
    <w:pPr>
      <w:pBdr/>
      <w:spacing/>
      <w:ind w:firstLine="357" w:left="708"/>
      <w:jc w:val="both"/>
    </w:pPr>
    <w:rPr>
      <w:szCs w:val="20"/>
    </w:rPr>
  </w:style>
  <w:style w:type="paragraph" w:styleId="825">
    <w:name w:val="Body Text Indent 2"/>
    <w:basedOn w:val="819"/>
    <w:pPr>
      <w:pBdr/>
      <w:spacing/>
      <w:ind w:firstLine="360" w:left="708"/>
      <w:jc w:val="both"/>
    </w:pPr>
    <w:rPr>
      <w:bCs/>
      <w:szCs w:val="20"/>
    </w:rPr>
  </w:style>
  <w:style w:type="paragraph" w:styleId="826">
    <w:name w:val="Header"/>
    <w:basedOn w:val="819"/>
    <w:pPr>
      <w:pBdr/>
      <w:tabs>
        <w:tab w:val="center" w:leader="none" w:pos="4536"/>
        <w:tab w:val="right" w:leader="none" w:pos="9072"/>
      </w:tabs>
      <w:spacing/>
      <w:ind/>
    </w:pPr>
    <w:rPr>
      <w:szCs w:val="20"/>
    </w:rPr>
  </w:style>
  <w:style w:type="paragraph" w:styleId="827">
    <w:name w:val="Body Text"/>
    <w:basedOn w:val="819"/>
    <w:pPr>
      <w:pBdr/>
      <w:spacing w:after="120"/>
      <w:ind/>
    </w:pPr>
    <w:rPr>
      <w:szCs w:val="20"/>
    </w:rPr>
  </w:style>
  <w:style w:type="paragraph" w:styleId="828">
    <w:name w:val="footnote text"/>
    <w:basedOn w:val="819"/>
    <w:semiHidden/>
    <w:pPr>
      <w:pBdr/>
      <w:spacing/>
      <w:ind/>
    </w:pPr>
    <w:rPr>
      <w:sz w:val="20"/>
      <w:szCs w:val="20"/>
    </w:rPr>
  </w:style>
  <w:style w:type="character" w:styleId="829">
    <w:name w:val="footnote reference"/>
    <w:semiHidden/>
    <w:pPr>
      <w:pBdr/>
      <w:spacing/>
      <w:ind/>
    </w:pPr>
    <w:rPr>
      <w:vertAlign w:val="superscript"/>
    </w:rPr>
  </w:style>
  <w:style w:type="paragraph" w:styleId="830" w:customStyle="1">
    <w:name w:val="Normální_IMP"/>
    <w:basedOn w:val="819"/>
    <w:pPr>
      <w:pBdr/>
      <w:spacing w:line="230" w:lineRule="auto"/>
      <w:ind/>
      <w:jc w:val="both"/>
    </w:pPr>
    <w:rPr>
      <w:szCs w:val="20"/>
    </w:rPr>
  </w:style>
  <w:style w:type="character" w:styleId="831">
    <w:name w:val="annotation reference"/>
    <w:semiHidden/>
    <w:pPr>
      <w:pBdr/>
      <w:spacing/>
      <w:ind/>
    </w:pPr>
    <w:rPr>
      <w:sz w:val="16"/>
      <w:szCs w:val="16"/>
    </w:rPr>
  </w:style>
  <w:style w:type="paragraph" w:styleId="832">
    <w:name w:val="annotation text"/>
    <w:basedOn w:val="819"/>
    <w:link w:val="837"/>
    <w:semiHidden/>
    <w:pPr>
      <w:pBdr/>
      <w:spacing/>
      <w:ind/>
    </w:pPr>
    <w:rPr>
      <w:sz w:val="20"/>
      <w:szCs w:val="20"/>
    </w:rPr>
  </w:style>
  <w:style w:type="paragraph" w:styleId="833">
    <w:name w:val="Body Text Indent 3"/>
    <w:basedOn w:val="819"/>
    <w:pPr>
      <w:widowControl w:val="false"/>
      <w:pBdr/>
      <w:tabs>
        <w:tab w:val="num" w:leader="none" w:pos="540"/>
      </w:tabs>
      <w:spacing/>
      <w:ind w:hanging="540" w:left="540"/>
      <w:jc w:val="both"/>
    </w:pPr>
    <w:rPr>
      <w:bCs/>
    </w:rPr>
  </w:style>
  <w:style w:type="paragraph" w:styleId="834">
    <w:name w:val="Balloon Text"/>
    <w:basedOn w:val="81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835">
    <w:name w:val="List Paragraph"/>
    <w:basedOn w:val="819"/>
    <w:uiPriority w:val="99"/>
    <w:qFormat/>
    <w:pPr>
      <w:pBdr/>
      <w:spacing w:after="200" w:line="276" w:lineRule="auto"/>
      <w:ind w:left="720"/>
      <w:contextualSpacing w:val="true"/>
    </w:pPr>
    <w:rPr>
      <w:rFonts w:ascii="Calibri" w:hAnsi="Calibri" w:eastAsia="Calibri"/>
      <w:sz w:val="22"/>
      <w:szCs w:val="22"/>
      <w:lang w:eastAsia="en-US"/>
    </w:rPr>
  </w:style>
  <w:style w:type="paragraph" w:styleId="836">
    <w:name w:val="annotation subject"/>
    <w:basedOn w:val="832"/>
    <w:next w:val="832"/>
    <w:link w:val="838"/>
    <w:uiPriority w:val="99"/>
    <w:semiHidden/>
    <w:unhideWhenUsed/>
    <w:pPr>
      <w:pBdr/>
      <w:spacing/>
      <w:ind/>
    </w:pPr>
    <w:rPr>
      <w:b/>
      <w:bCs/>
    </w:rPr>
  </w:style>
  <w:style w:type="character" w:styleId="837" w:customStyle="1">
    <w:name w:val="Text komentáře Char"/>
    <w:basedOn w:val="821"/>
    <w:link w:val="832"/>
    <w:semiHidden/>
    <w:pPr>
      <w:pBdr/>
      <w:spacing/>
      <w:ind/>
    </w:pPr>
  </w:style>
  <w:style w:type="character" w:styleId="838" w:customStyle="1">
    <w:name w:val="Předmět komentáře Char"/>
    <w:link w:val="836"/>
    <w:uiPriority w:val="99"/>
    <w:semiHidden/>
    <w:pPr>
      <w:pBdr/>
      <w:spacing/>
      <w:ind/>
    </w:pPr>
    <w:rPr>
      <w:b/>
      <w:bCs/>
    </w:rPr>
  </w:style>
  <w:style w:type="paragraph" w:styleId="839">
    <w:name w:val="Footer"/>
    <w:basedOn w:val="819"/>
    <w:link w:val="840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40" w:customStyle="1">
    <w:name w:val="Zápatí Char"/>
    <w:link w:val="839"/>
    <w:uiPriority w:val="99"/>
    <w:pPr>
      <w:pBdr/>
      <w:spacing/>
      <w:ind/>
    </w:pPr>
    <w:rPr>
      <w:sz w:val="24"/>
      <w:szCs w:val="24"/>
    </w:rPr>
  </w:style>
  <w:style w:type="paragraph" w:styleId="841" w:customStyle="1">
    <w:name w:val="Default"/>
    <w:pPr>
      <w:pBdr/>
      <w:spacing/>
      <w:ind/>
    </w:pPr>
    <w:rPr>
      <w:rFonts w:ascii="Arial" w:hAnsi="Arial" w:cs="Arial"/>
      <w:color w:val="000000"/>
      <w:sz w:val="24"/>
      <w:szCs w:val="24"/>
    </w:rPr>
  </w:style>
  <w:style w:type="character" w:styleId="842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character" w:styleId="843">
    <w:name w:val="Unresolved Mention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16F07-5DC7-4E83-99E4-57E7D9184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MV ČR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Mistostarosta</cp:lastModifiedBy>
  <cp:revision>6</cp:revision>
  <dcterms:created xsi:type="dcterms:W3CDTF">2025-05-02T08:45:00Z</dcterms:created>
  <dcterms:modified xsi:type="dcterms:W3CDTF">2025-05-14T14:56:13Z</dcterms:modified>
</cp:coreProperties>
</file>