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89B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FB40571" w14:textId="77777777" w:rsidR="00AA6A08" w:rsidRDefault="00AA6A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84193AB" w14:textId="77777777" w:rsidR="00AA6A08" w:rsidRDefault="00AA6A0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6CAFC3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E74A7">
        <w:rPr>
          <w:rFonts w:ascii="Arial" w:hAnsi="Arial" w:cs="Arial"/>
          <w:b/>
        </w:rPr>
        <w:t>Kostelec</w:t>
      </w:r>
    </w:p>
    <w:p w14:paraId="143B5FF8" w14:textId="41EAA3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E74A7">
        <w:rPr>
          <w:rFonts w:ascii="Arial" w:hAnsi="Arial" w:cs="Arial"/>
          <w:b/>
        </w:rPr>
        <w:t>Kostelec</w:t>
      </w:r>
      <w:r w:rsidR="00A36AAC">
        <w:rPr>
          <w:rFonts w:ascii="Arial" w:hAnsi="Arial" w:cs="Arial"/>
          <w:b/>
        </w:rPr>
        <w:t xml:space="preserve"> </w:t>
      </w:r>
      <w:r w:rsidR="00AA6A08">
        <w:rPr>
          <w:rFonts w:ascii="Arial" w:hAnsi="Arial" w:cs="Arial"/>
          <w:b/>
        </w:rPr>
        <w:t>č.</w:t>
      </w:r>
      <w:r w:rsidR="00436081">
        <w:rPr>
          <w:rFonts w:ascii="Arial" w:hAnsi="Arial" w:cs="Arial"/>
          <w:b/>
        </w:rPr>
        <w:t>1</w:t>
      </w:r>
      <w:r w:rsidR="00AA6A08">
        <w:rPr>
          <w:rFonts w:ascii="Arial" w:hAnsi="Arial" w:cs="Arial"/>
          <w:b/>
        </w:rPr>
        <w:t>/202</w:t>
      </w:r>
      <w:r w:rsidR="00436081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4DD5C3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B27DA3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EB2BD9" w14:textId="213B7DC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E74A7">
        <w:rPr>
          <w:rFonts w:ascii="Arial" w:hAnsi="Arial" w:cs="Arial"/>
          <w:b w:val="0"/>
          <w:sz w:val="22"/>
          <w:szCs w:val="22"/>
        </w:rPr>
        <w:t>Kostelec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77CD4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77CD4">
        <w:rPr>
          <w:rFonts w:ascii="Arial" w:hAnsi="Arial" w:cs="Arial"/>
          <w:b w:val="0"/>
          <w:sz w:val="22"/>
          <w:szCs w:val="22"/>
        </w:rPr>
        <w:t>5/2/2022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2FE02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CF8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D90D57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E74A7">
        <w:rPr>
          <w:rFonts w:ascii="Arial" w:hAnsi="Arial" w:cs="Arial"/>
          <w:sz w:val="22"/>
          <w:szCs w:val="22"/>
        </w:rPr>
        <w:t>Kostelec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85ADDD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E74A7">
        <w:rPr>
          <w:rFonts w:ascii="Arial" w:hAnsi="Arial" w:cs="Arial"/>
          <w:sz w:val="22"/>
          <w:szCs w:val="22"/>
        </w:rPr>
        <w:t>Kostelec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0FCB1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252C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22E52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625327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0E1E1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4A4C21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B73B4F" w14:textId="77777777" w:rsidR="003912CD" w:rsidRDefault="003912C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736B13B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6DDF973C" w14:textId="77777777" w:rsidR="00CD0C08" w:rsidRPr="002E0EAD" w:rsidRDefault="00CD0C08" w:rsidP="00A36AAC">
      <w:pPr>
        <w:pStyle w:val="Nzvylnk"/>
        <w:spacing w:before="0" w:after="0"/>
        <w:ind w:firstLine="63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B9D780" w14:textId="77777777" w:rsidR="00A36AAC" w:rsidRDefault="00A36AAC" w:rsidP="00A36AAC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58D2956" w14:textId="77777777" w:rsidR="00CD0C08" w:rsidRPr="00CD0C08" w:rsidRDefault="00CD0C08" w:rsidP="00A36AAC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778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BA69E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218F48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A6A0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269773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31079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A0138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D7B621" w14:textId="7BE84708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021AFB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D7309B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149C49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607DDC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D2E3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35FE3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0B9746B" w14:textId="120C00DE" w:rsidR="006A4A80" w:rsidRPr="003912CD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36081" w:rsidRPr="00436081">
        <w:rPr>
          <w:rFonts w:ascii="Arial" w:hAnsi="Arial" w:cs="Arial"/>
          <w:sz w:val="22"/>
          <w:szCs w:val="22"/>
        </w:rPr>
        <w:t>800</w:t>
      </w:r>
      <w:r w:rsidR="003912CD" w:rsidRPr="00436081">
        <w:rPr>
          <w:rFonts w:ascii="Arial" w:hAnsi="Arial" w:cs="Arial"/>
          <w:sz w:val="22"/>
          <w:szCs w:val="22"/>
        </w:rPr>
        <w:t xml:space="preserve"> </w:t>
      </w:r>
      <w:r w:rsidRPr="00436081">
        <w:rPr>
          <w:rFonts w:ascii="Arial" w:hAnsi="Arial" w:cs="Arial"/>
          <w:sz w:val="22"/>
          <w:szCs w:val="22"/>
        </w:rPr>
        <w:t>Kč</w:t>
      </w:r>
      <w:r w:rsidR="006A4A80" w:rsidRPr="00436081">
        <w:rPr>
          <w:rFonts w:ascii="Arial" w:hAnsi="Arial" w:cs="Arial"/>
          <w:sz w:val="22"/>
          <w:szCs w:val="22"/>
        </w:rPr>
        <w:t>.</w:t>
      </w:r>
    </w:p>
    <w:p w14:paraId="05B3DFC0" w14:textId="77777777" w:rsidR="003912CD" w:rsidRPr="00303591" w:rsidRDefault="003912CD" w:rsidP="003912C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9B890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E518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4EEA3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20B8B6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EFEC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461F9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36253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33E8E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1EE3F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F8EBBE" w14:textId="1A530143" w:rsidR="00A271D4" w:rsidRPr="002E0EAD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FF50F2">
        <w:rPr>
          <w:rFonts w:ascii="Arial" w:hAnsi="Arial" w:cs="Arial"/>
          <w:sz w:val="22"/>
          <w:szCs w:val="22"/>
        </w:rPr>
        <w:t xml:space="preserve"> pro poplatníka </w:t>
      </w:r>
      <w:r w:rsidRPr="002E0EAD">
        <w:rPr>
          <w:rFonts w:ascii="Arial" w:hAnsi="Arial" w:cs="Arial"/>
          <w:sz w:val="22"/>
          <w:szCs w:val="22"/>
        </w:rPr>
        <w:t xml:space="preserve">je splatný </w:t>
      </w:r>
      <w:r w:rsidR="00FF50F2">
        <w:rPr>
          <w:rFonts w:ascii="Arial" w:hAnsi="Arial" w:cs="Arial"/>
          <w:sz w:val="22"/>
          <w:szCs w:val="22"/>
        </w:rPr>
        <w:t>ve 2 stejných splátkách,</w:t>
      </w:r>
      <w:r w:rsidR="00FA4167">
        <w:rPr>
          <w:rFonts w:ascii="Arial" w:hAnsi="Arial" w:cs="Arial"/>
          <w:sz w:val="22"/>
          <w:szCs w:val="22"/>
        </w:rPr>
        <w:t xml:space="preserve"> </w:t>
      </w:r>
      <w:r w:rsidR="00FF50F2">
        <w:rPr>
          <w:rFonts w:ascii="Arial" w:hAnsi="Arial" w:cs="Arial"/>
          <w:sz w:val="22"/>
          <w:szCs w:val="22"/>
        </w:rPr>
        <w:t>vždy nejpozději do 31.března a do 30.září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78C38C" w14:textId="21176B16" w:rsidR="00A271D4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</w:t>
      </w:r>
      <w:r w:rsidR="00843FAD">
        <w:rPr>
          <w:rFonts w:ascii="Arial" w:hAnsi="Arial" w:cs="Arial"/>
          <w:sz w:val="22"/>
          <w:szCs w:val="22"/>
        </w:rPr>
        <w:t xml:space="preserve"> v období mezi daty uvedenými v odstavci 1,</w:t>
      </w:r>
      <w:r w:rsidRPr="002E0EAD">
        <w:rPr>
          <w:rFonts w:ascii="Arial" w:hAnsi="Arial" w:cs="Arial"/>
          <w:sz w:val="22"/>
          <w:szCs w:val="22"/>
        </w:rPr>
        <w:t xml:space="preserve"> je poplatek splatný </w:t>
      </w:r>
      <w:r w:rsidR="00843FAD">
        <w:rPr>
          <w:rFonts w:ascii="Arial" w:hAnsi="Arial" w:cs="Arial"/>
          <w:sz w:val="22"/>
          <w:szCs w:val="22"/>
        </w:rPr>
        <w:t>jednorázově ve lhůtě splatnosti druhé splátky podle odstavce 1.Vznikne</w:t>
      </w:r>
      <w:r w:rsidR="004360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FAD">
        <w:rPr>
          <w:rFonts w:ascii="Arial" w:hAnsi="Arial" w:cs="Arial"/>
          <w:sz w:val="22"/>
          <w:szCs w:val="22"/>
        </w:rPr>
        <w:t>li</w:t>
      </w:r>
      <w:proofErr w:type="spellEnd"/>
      <w:r w:rsidR="00843FAD">
        <w:rPr>
          <w:rFonts w:ascii="Arial" w:hAnsi="Arial" w:cs="Arial"/>
          <w:sz w:val="22"/>
          <w:szCs w:val="22"/>
        </w:rPr>
        <w:t xml:space="preserve"> poplatková povinnost po uplynutí lhůty splatnosti druhé splátky podle odstavce 1, je poplatek splatný jednorázově do 15.dne měsíce, který následuje po měsíci, ve kterém poplatková povinnost vznikla.</w:t>
      </w:r>
    </w:p>
    <w:p w14:paraId="5EF29E6F" w14:textId="77777777" w:rsidR="00A271D4" w:rsidRDefault="00A271D4" w:rsidP="00A271D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B4FA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5FE4C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7D3FA3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A329886" w14:textId="77777777" w:rsidR="00A271D4" w:rsidRDefault="00A271D4" w:rsidP="00A904E7">
      <w:pPr>
        <w:pStyle w:val="Default"/>
        <w:ind w:left="567"/>
        <w:rPr>
          <w:sz w:val="22"/>
          <w:szCs w:val="22"/>
        </w:rPr>
      </w:pPr>
    </w:p>
    <w:p w14:paraId="12121B4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BAD6163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257DF0B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B87E5C8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578712E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3EE163D" w14:textId="77777777" w:rsidR="00A271D4" w:rsidRDefault="00A271D4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0FD823F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E778BD" w14:textId="77777777" w:rsidR="00A271D4" w:rsidRDefault="00A271D4" w:rsidP="00A904E7">
      <w:pPr>
        <w:pStyle w:val="Default"/>
        <w:ind w:left="567"/>
        <w:rPr>
          <w:color w:val="auto"/>
          <w:sz w:val="22"/>
          <w:szCs w:val="22"/>
        </w:rPr>
      </w:pPr>
    </w:p>
    <w:p w14:paraId="580FE09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742823D2" w14:textId="77777777" w:rsidR="00131160" w:rsidRPr="002E0EAD" w:rsidRDefault="00131160" w:rsidP="00A36AA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A271D4">
        <w:rPr>
          <w:rFonts w:ascii="Arial" w:hAnsi="Arial" w:cs="Arial"/>
          <w:sz w:val="22"/>
          <w:szCs w:val="22"/>
        </w:rPr>
        <w:t>která</w:t>
      </w:r>
    </w:p>
    <w:p w14:paraId="42F3321D" w14:textId="77777777" w:rsidR="00A36AAC" w:rsidRPr="003D7B04" w:rsidRDefault="00A271D4" w:rsidP="00A36AAC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3D7B04">
        <w:rPr>
          <w:rFonts w:ascii="Arial" w:hAnsi="Arial"/>
          <w:sz w:val="22"/>
          <w:szCs w:val="22"/>
        </w:rPr>
        <w:t xml:space="preserve">je hlášena k trvalému pobytu s úředně určeným místem trvalého pobytu v sídle ohlašovny, </w:t>
      </w:r>
    </w:p>
    <w:p w14:paraId="06D66213" w14:textId="77777777" w:rsidR="008E74A7" w:rsidRPr="008E64D2" w:rsidRDefault="00A36AAC" w:rsidP="00885667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8E64D2">
        <w:rPr>
          <w:rFonts w:ascii="Arial" w:hAnsi="Arial" w:cs="Arial"/>
          <w:sz w:val="22"/>
          <w:szCs w:val="22"/>
        </w:rPr>
        <w:t xml:space="preserve">je dítětem </w:t>
      </w:r>
      <w:r w:rsidR="008E74A7" w:rsidRPr="008E64D2">
        <w:rPr>
          <w:rFonts w:ascii="Arial" w:hAnsi="Arial" w:cs="Arial"/>
          <w:sz w:val="22"/>
          <w:szCs w:val="22"/>
        </w:rPr>
        <w:t>narozeným v příslušném</w:t>
      </w:r>
      <w:r w:rsidRPr="008E64D2">
        <w:rPr>
          <w:rFonts w:ascii="Arial" w:hAnsi="Arial" w:cs="Arial"/>
          <w:sz w:val="22"/>
          <w:szCs w:val="22"/>
        </w:rPr>
        <w:t xml:space="preserve"> kalendářní</w:t>
      </w:r>
      <w:r w:rsidR="008E74A7" w:rsidRPr="008E64D2">
        <w:rPr>
          <w:rFonts w:ascii="Arial" w:hAnsi="Arial" w:cs="Arial"/>
          <w:sz w:val="22"/>
          <w:szCs w:val="22"/>
        </w:rPr>
        <w:t>m</w:t>
      </w:r>
      <w:r w:rsidRPr="008E64D2">
        <w:rPr>
          <w:rFonts w:ascii="Arial" w:hAnsi="Arial" w:cs="Arial"/>
          <w:sz w:val="22"/>
          <w:szCs w:val="22"/>
        </w:rPr>
        <w:t xml:space="preserve"> ro</w:t>
      </w:r>
      <w:r w:rsidR="008E74A7" w:rsidRPr="008E64D2">
        <w:rPr>
          <w:rFonts w:ascii="Arial" w:hAnsi="Arial" w:cs="Arial"/>
          <w:sz w:val="22"/>
          <w:szCs w:val="22"/>
        </w:rPr>
        <w:t>ce</w:t>
      </w:r>
      <w:r w:rsidRPr="008E64D2">
        <w:rPr>
          <w:rFonts w:ascii="Arial" w:hAnsi="Arial" w:cs="Arial"/>
          <w:sz w:val="22"/>
          <w:szCs w:val="22"/>
        </w:rPr>
        <w:t xml:space="preserve">, </w:t>
      </w:r>
    </w:p>
    <w:p w14:paraId="697D16B7" w14:textId="77777777" w:rsidR="00840BF9" w:rsidRPr="008E64D2" w:rsidRDefault="00840BF9" w:rsidP="00885667">
      <w:pPr>
        <w:numPr>
          <w:ilvl w:val="1"/>
          <w:numId w:val="8"/>
        </w:numPr>
        <w:spacing w:line="264" w:lineRule="auto"/>
        <w:jc w:val="both"/>
        <w:rPr>
          <w:rFonts w:ascii="Arial" w:hAnsi="Arial"/>
          <w:sz w:val="22"/>
          <w:szCs w:val="22"/>
        </w:rPr>
      </w:pPr>
      <w:r w:rsidRPr="008E64D2">
        <w:rPr>
          <w:rFonts w:ascii="Arial" w:hAnsi="Arial" w:cs="Arial"/>
          <w:sz w:val="22"/>
          <w:szCs w:val="22"/>
        </w:rPr>
        <w:t xml:space="preserve">pobývá nepřetržitě po dobu delší než </w:t>
      </w:r>
      <w:r w:rsidR="008E74A7" w:rsidRPr="008E64D2">
        <w:rPr>
          <w:rFonts w:ascii="Arial" w:hAnsi="Arial" w:cs="Arial"/>
          <w:sz w:val="22"/>
          <w:szCs w:val="22"/>
        </w:rPr>
        <w:t>10</w:t>
      </w:r>
      <w:r w:rsidRPr="008E64D2">
        <w:rPr>
          <w:rFonts w:ascii="Arial" w:hAnsi="Arial" w:cs="Arial"/>
          <w:sz w:val="22"/>
          <w:szCs w:val="22"/>
        </w:rPr>
        <w:t xml:space="preserve"> měsíců mimo území České republiky</w:t>
      </w:r>
      <w:r w:rsidR="008E74A7" w:rsidRPr="008E64D2">
        <w:rPr>
          <w:rFonts w:ascii="Arial" w:hAnsi="Arial" w:cs="Arial"/>
          <w:sz w:val="22"/>
          <w:szCs w:val="22"/>
        </w:rPr>
        <w:t xml:space="preserve"> z důvodu pracovního nebo studijního pobytu</w:t>
      </w:r>
      <w:r w:rsidR="00BB559D" w:rsidRPr="008E64D2">
        <w:rPr>
          <w:rFonts w:ascii="Arial" w:hAnsi="Arial" w:cs="Arial"/>
          <w:sz w:val="22"/>
          <w:szCs w:val="22"/>
        </w:rPr>
        <w:t>.</w:t>
      </w:r>
    </w:p>
    <w:p w14:paraId="7EDD63F0" w14:textId="77777777" w:rsidR="00840BF9" w:rsidRPr="00A271D4" w:rsidRDefault="00840BF9" w:rsidP="00840BF9">
      <w:pPr>
        <w:pStyle w:val="Odstavecseseznamem"/>
        <w:ind w:left="567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E4FD8E4" w14:textId="77777777" w:rsidR="00BA1E8D" w:rsidRDefault="00840BF9" w:rsidP="00A36AAC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A36AAC">
        <w:rPr>
          <w:rFonts w:ascii="Arial" w:hAnsi="Arial" w:cs="Arial"/>
          <w:sz w:val="22"/>
          <w:szCs w:val="22"/>
        </w:rPr>
        <w:t xml:space="preserve"> </w:t>
      </w:r>
      <w:r w:rsidR="00BA1E8D" w:rsidRPr="00A36AAC">
        <w:rPr>
          <w:rFonts w:ascii="Arial" w:hAnsi="Arial" w:cs="Arial"/>
          <w:sz w:val="22"/>
          <w:szCs w:val="22"/>
        </w:rPr>
        <w:t>(</w:t>
      </w:r>
      <w:r w:rsidR="008E74A7">
        <w:rPr>
          <w:rFonts w:ascii="Arial" w:hAnsi="Arial" w:cs="Arial"/>
          <w:sz w:val="22"/>
          <w:szCs w:val="22"/>
        </w:rPr>
        <w:t>3</w:t>
      </w:r>
      <w:r w:rsidR="00BA1E8D" w:rsidRPr="00A36AAC">
        <w:rPr>
          <w:rFonts w:ascii="Arial" w:hAnsi="Arial" w:cs="Arial"/>
          <w:sz w:val="22"/>
          <w:szCs w:val="22"/>
        </w:rPr>
        <w:t>)</w:t>
      </w:r>
      <w:r w:rsidR="00BA1E8D" w:rsidRPr="00A36AAC">
        <w:rPr>
          <w:rFonts w:ascii="Arial" w:hAnsi="Arial" w:cs="Arial"/>
          <w:sz w:val="22"/>
          <w:szCs w:val="22"/>
        </w:rPr>
        <w:tab/>
      </w:r>
      <w:r w:rsidR="00F71D1C" w:rsidRPr="00A36AA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F71D1C" w:rsidRPr="00A36AA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84049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541D6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9D9195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AEB76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1C01570" w14:textId="77777777" w:rsidR="006706CF" w:rsidRDefault="006706CF" w:rsidP="007A65BA">
      <w:pPr>
        <w:pStyle w:val="slalnk"/>
        <w:spacing w:before="480"/>
        <w:rPr>
          <w:rFonts w:ascii="Arial" w:hAnsi="Arial" w:cs="Arial"/>
        </w:rPr>
      </w:pPr>
    </w:p>
    <w:p w14:paraId="110323A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07CBAA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C1271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92DF1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F84351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DF589B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FB24E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6854C2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2C7A44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F4FF8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4FC5E9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0C5EB0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3D61E1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84E560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47A21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722FC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4348C5B" w14:textId="022F225A" w:rsidR="00A36AAC" w:rsidRDefault="008658CA" w:rsidP="00A36AAC">
      <w:pPr>
        <w:pStyle w:val="ParagraphUnnumbered"/>
        <w:rPr>
          <w:rFonts w:ascii="Arial" w:hAnsi="Arial" w:cs="Arial"/>
          <w:sz w:val="22"/>
        </w:rPr>
      </w:pPr>
      <w:bookmarkStart w:id="1" w:name="_Hlk54595723"/>
      <w:r w:rsidRPr="006F0FF5">
        <w:rPr>
          <w:rFonts w:ascii="Arial" w:hAnsi="Arial" w:cs="Arial"/>
          <w:sz w:val="22"/>
        </w:rPr>
        <w:t xml:space="preserve">Zrušuje se obecně závazná vyhláška </w:t>
      </w:r>
      <w:bookmarkEnd w:id="1"/>
      <w:r w:rsidR="006F0FF5" w:rsidRPr="006F0FF5">
        <w:rPr>
          <w:rFonts w:ascii="Arial" w:hAnsi="Arial" w:cs="Arial"/>
          <w:sz w:val="22"/>
        </w:rPr>
        <w:t>č</w:t>
      </w:r>
      <w:r w:rsidR="003D7B04">
        <w:t>.</w:t>
      </w:r>
      <w:r w:rsidR="00EA2441">
        <w:rPr>
          <w:rFonts w:ascii="Arial" w:hAnsi="Arial" w:cs="Arial"/>
          <w:sz w:val="22"/>
        </w:rPr>
        <w:t>2</w:t>
      </w:r>
      <w:r w:rsidR="00A36AAC" w:rsidRPr="00A36AAC">
        <w:rPr>
          <w:rFonts w:ascii="Arial" w:hAnsi="Arial" w:cs="Arial"/>
          <w:sz w:val="22"/>
        </w:rPr>
        <w:t>/202</w:t>
      </w:r>
      <w:r w:rsidR="00EA2441">
        <w:rPr>
          <w:rFonts w:ascii="Arial" w:hAnsi="Arial" w:cs="Arial"/>
          <w:sz w:val="22"/>
        </w:rPr>
        <w:t>1</w:t>
      </w:r>
      <w:r w:rsidR="00A36AAC" w:rsidRPr="00A36AAC">
        <w:rPr>
          <w:rFonts w:ascii="Arial" w:hAnsi="Arial" w:cs="Arial"/>
          <w:sz w:val="22"/>
        </w:rPr>
        <w:t xml:space="preserve"> o místním poplatku za </w:t>
      </w:r>
      <w:r w:rsidR="00FD202D">
        <w:rPr>
          <w:rFonts w:ascii="Arial" w:hAnsi="Arial" w:cs="Arial"/>
          <w:sz w:val="22"/>
        </w:rPr>
        <w:t xml:space="preserve">obecní systém odpadového hospodářství </w:t>
      </w:r>
      <w:r w:rsidR="00A36AAC" w:rsidRPr="00A36AAC">
        <w:rPr>
          <w:rFonts w:ascii="Arial" w:hAnsi="Arial" w:cs="Arial"/>
          <w:sz w:val="22"/>
        </w:rPr>
        <w:t xml:space="preserve">, ze dne </w:t>
      </w:r>
      <w:r w:rsidR="006706CF">
        <w:rPr>
          <w:rFonts w:ascii="Arial" w:hAnsi="Arial" w:cs="Arial"/>
          <w:sz w:val="22"/>
        </w:rPr>
        <w:t>1</w:t>
      </w:r>
      <w:r w:rsidR="008E74A7">
        <w:rPr>
          <w:rFonts w:ascii="Arial" w:hAnsi="Arial" w:cs="Arial"/>
          <w:sz w:val="22"/>
        </w:rPr>
        <w:t>.12</w:t>
      </w:r>
      <w:r w:rsidR="006706CF">
        <w:rPr>
          <w:rFonts w:ascii="Arial" w:hAnsi="Arial" w:cs="Arial"/>
          <w:sz w:val="22"/>
        </w:rPr>
        <w:t>.202</w:t>
      </w:r>
      <w:r w:rsidR="00EA2441">
        <w:rPr>
          <w:rFonts w:ascii="Arial" w:hAnsi="Arial" w:cs="Arial"/>
          <w:sz w:val="22"/>
        </w:rPr>
        <w:t>1</w:t>
      </w:r>
      <w:r w:rsidR="006706CF">
        <w:rPr>
          <w:rFonts w:ascii="Arial" w:hAnsi="Arial" w:cs="Arial"/>
          <w:sz w:val="22"/>
        </w:rPr>
        <w:t>.</w:t>
      </w:r>
    </w:p>
    <w:p w14:paraId="6EF935C1" w14:textId="77777777" w:rsidR="00A36AAC" w:rsidRDefault="00A36AAC" w:rsidP="00A36AAC">
      <w:pPr>
        <w:pStyle w:val="ParagraphUnnumbered"/>
        <w:rPr>
          <w:rFonts w:ascii="Arial" w:hAnsi="Arial" w:cs="Arial"/>
          <w:sz w:val="22"/>
        </w:rPr>
      </w:pPr>
    </w:p>
    <w:p w14:paraId="69901DE1" w14:textId="77777777" w:rsidR="00131160" w:rsidRPr="00A36AAC" w:rsidRDefault="00131160" w:rsidP="00A36AAC">
      <w:pPr>
        <w:pStyle w:val="ParagraphUnnumbered"/>
        <w:jc w:val="center"/>
        <w:rPr>
          <w:rFonts w:ascii="Arial" w:hAnsi="Arial" w:cs="Arial"/>
          <w:b/>
        </w:rPr>
      </w:pPr>
      <w:r w:rsidRPr="00A36AAC">
        <w:rPr>
          <w:rFonts w:ascii="Arial" w:hAnsi="Arial" w:cs="Arial"/>
          <w:b/>
        </w:rPr>
        <w:t xml:space="preserve">Čl. </w:t>
      </w:r>
      <w:r w:rsidR="005523AF" w:rsidRPr="00A36AAC">
        <w:rPr>
          <w:rFonts w:ascii="Arial" w:hAnsi="Arial" w:cs="Arial"/>
          <w:b/>
        </w:rPr>
        <w:t>1</w:t>
      </w:r>
      <w:r w:rsidR="00211F22" w:rsidRPr="00A36AAC">
        <w:rPr>
          <w:rFonts w:ascii="Arial" w:hAnsi="Arial" w:cs="Arial"/>
          <w:b/>
        </w:rPr>
        <w:t>3</w:t>
      </w:r>
    </w:p>
    <w:p w14:paraId="58D728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4598DD" w14:textId="6B30077F" w:rsidR="008D6906" w:rsidRPr="002E0EAD" w:rsidRDefault="008D6906" w:rsidP="006F0F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F0FF5">
        <w:rPr>
          <w:rFonts w:ascii="Arial" w:hAnsi="Arial" w:cs="Arial"/>
          <w:sz w:val="22"/>
          <w:szCs w:val="22"/>
        </w:rPr>
        <w:t>1.1.202</w:t>
      </w:r>
      <w:r w:rsidR="0043608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606464D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9C3E704" w14:textId="77777777" w:rsidR="00131160" w:rsidRPr="006F0FF5" w:rsidRDefault="00131160" w:rsidP="006F0FF5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1B8265CA" w14:textId="77777777" w:rsidR="00A36AAC" w:rsidRPr="002E0EAD" w:rsidRDefault="00A36AAC" w:rsidP="00A36AAC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487A7FC" w14:textId="5480CAB4" w:rsidR="00A36AAC" w:rsidRPr="002E0EAD" w:rsidRDefault="00A36AAC" w:rsidP="00A36AA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E74A7">
        <w:rPr>
          <w:rFonts w:ascii="Arial" w:hAnsi="Arial" w:cs="Arial"/>
          <w:sz w:val="22"/>
          <w:szCs w:val="22"/>
        </w:rPr>
        <w:t>Ing. Vladimír Šimeček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E74A7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="008E74A7">
        <w:rPr>
          <w:rFonts w:ascii="Arial" w:hAnsi="Arial" w:cs="Arial"/>
          <w:sz w:val="22"/>
          <w:szCs w:val="22"/>
        </w:rPr>
        <w:t>Ing.</w:t>
      </w:r>
      <w:r w:rsidR="00436081">
        <w:rPr>
          <w:rFonts w:ascii="Arial" w:hAnsi="Arial" w:cs="Arial"/>
          <w:sz w:val="22"/>
          <w:szCs w:val="22"/>
        </w:rPr>
        <w:t xml:space="preserve"> Tomáš Kučera</w:t>
      </w:r>
    </w:p>
    <w:p w14:paraId="134451D4" w14:textId="150F0D8C" w:rsidR="00A36AAC" w:rsidRPr="002E0EAD" w:rsidRDefault="00A36AAC" w:rsidP="00A36AA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F03FF6B" w14:textId="77777777" w:rsidR="009E0512" w:rsidRPr="006F0FF5" w:rsidRDefault="009E0512" w:rsidP="006F0FF5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176A77B4" w14:textId="77777777" w:rsidR="006F0FF5" w:rsidRDefault="006F0FF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7EE0F8" w14:textId="77777777" w:rsidR="006F0FF5" w:rsidRDefault="006F0FF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898D38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7FB723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76B1" w14:textId="77777777" w:rsidR="00A31D4C" w:rsidRDefault="00A31D4C">
      <w:r>
        <w:separator/>
      </w:r>
    </w:p>
  </w:endnote>
  <w:endnote w:type="continuationSeparator" w:id="0">
    <w:p w14:paraId="045C9BA6" w14:textId="77777777" w:rsidR="00A31D4C" w:rsidRDefault="00A3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3D2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74A7">
      <w:rPr>
        <w:noProof/>
      </w:rPr>
      <w:t>5</w:t>
    </w:r>
    <w:r>
      <w:fldChar w:fldCharType="end"/>
    </w:r>
  </w:p>
  <w:p w14:paraId="5CC037E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5DBC" w14:textId="77777777" w:rsidR="00A31D4C" w:rsidRDefault="00A31D4C">
      <w:r>
        <w:separator/>
      </w:r>
    </w:p>
  </w:footnote>
  <w:footnote w:type="continuationSeparator" w:id="0">
    <w:p w14:paraId="4B5731AF" w14:textId="77777777" w:rsidR="00A31D4C" w:rsidRDefault="00A31D4C">
      <w:r>
        <w:continuationSeparator/>
      </w:r>
    </w:p>
  </w:footnote>
  <w:footnote w:id="1">
    <w:p w14:paraId="5FBB093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55D6F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7936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2DFB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0A3C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FD202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6C29D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2DDE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AB90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DDC15C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F3C1D7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043B54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08E241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80C0C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140E6C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1E21D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A81AE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C04D9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189BC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81CF56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A00A2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574650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54A39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314E73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155848"/>
    <w:multiLevelType w:val="hybridMultilevel"/>
    <w:tmpl w:val="174E87AA"/>
    <w:lvl w:ilvl="0" w:tplc="0D3AEFCC">
      <w:start w:val="1"/>
      <w:numFmt w:val="decimal"/>
      <w:lvlText w:val="%1."/>
      <w:lvlJc w:val="left"/>
      <w:pPr>
        <w:ind w:left="360" w:hanging="360"/>
      </w:pPr>
    </w:lvl>
    <w:lvl w:ilvl="1" w:tplc="106EB284">
      <w:start w:val="1"/>
      <w:numFmt w:val="lowerLetter"/>
      <w:lvlText w:val="%2)"/>
      <w:lvlJc w:val="left"/>
      <w:pPr>
        <w:ind w:left="720" w:hanging="360"/>
      </w:pPr>
    </w:lvl>
    <w:lvl w:ilvl="2" w:tplc="0CEAB410">
      <w:start w:val="1"/>
      <w:numFmt w:val="decimal"/>
      <w:lvlText w:val="%3."/>
      <w:lvlJc w:val="left"/>
      <w:pPr>
        <w:ind w:left="2160" w:hanging="360"/>
      </w:pPr>
    </w:lvl>
    <w:lvl w:ilvl="3" w:tplc="39FAB9E6">
      <w:start w:val="1"/>
      <w:numFmt w:val="lowerLetter"/>
      <w:lvlText w:val="%4."/>
      <w:lvlJc w:val="left"/>
      <w:pPr>
        <w:ind w:left="2880" w:hanging="360"/>
      </w:pPr>
    </w:lvl>
    <w:lvl w:ilvl="4" w:tplc="2896671E">
      <w:start w:val="1"/>
      <w:numFmt w:val="decimal"/>
      <w:lvlText w:val="%5."/>
      <w:lvlJc w:val="left"/>
      <w:pPr>
        <w:ind w:left="3600" w:hanging="360"/>
      </w:pPr>
    </w:lvl>
    <w:lvl w:ilvl="5" w:tplc="5DEC9010">
      <w:start w:val="1"/>
      <w:numFmt w:val="lowerLetter"/>
      <w:lvlText w:val="%6."/>
      <w:lvlJc w:val="left"/>
      <w:pPr>
        <w:ind w:left="4320" w:hanging="360"/>
      </w:pPr>
    </w:lvl>
    <w:lvl w:ilvl="6" w:tplc="19AE9678">
      <w:start w:val="1"/>
      <w:numFmt w:val="decimal"/>
      <w:lvlText w:val="%7."/>
      <w:lvlJc w:val="left"/>
      <w:pPr>
        <w:ind w:left="5040" w:hanging="360"/>
      </w:pPr>
    </w:lvl>
    <w:lvl w:ilvl="7" w:tplc="DD42CD36">
      <w:start w:val="1"/>
      <w:numFmt w:val="lowerLetter"/>
      <w:lvlText w:val="%8."/>
      <w:lvlJc w:val="left"/>
      <w:pPr>
        <w:ind w:left="5760" w:hanging="360"/>
      </w:pPr>
    </w:lvl>
    <w:lvl w:ilvl="8" w:tplc="1AC459D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61922254">
    <w:abstractNumId w:val="16"/>
  </w:num>
  <w:num w:numId="2" w16cid:durableId="168452379">
    <w:abstractNumId w:val="8"/>
  </w:num>
  <w:num w:numId="3" w16cid:durableId="1767075752">
    <w:abstractNumId w:val="21"/>
  </w:num>
  <w:num w:numId="4" w16cid:durableId="1660571802">
    <w:abstractNumId w:val="9"/>
  </w:num>
  <w:num w:numId="5" w16cid:durableId="823162527">
    <w:abstractNumId w:val="6"/>
  </w:num>
  <w:num w:numId="6" w16cid:durableId="1301183532">
    <w:abstractNumId w:val="28"/>
  </w:num>
  <w:num w:numId="7" w16cid:durableId="613951230">
    <w:abstractNumId w:val="12"/>
  </w:num>
  <w:num w:numId="8" w16cid:durableId="1525287965">
    <w:abstractNumId w:val="14"/>
  </w:num>
  <w:num w:numId="9" w16cid:durableId="1914387300">
    <w:abstractNumId w:val="11"/>
  </w:num>
  <w:num w:numId="10" w16cid:durableId="530144434">
    <w:abstractNumId w:val="0"/>
  </w:num>
  <w:num w:numId="11" w16cid:durableId="1652712168">
    <w:abstractNumId w:val="10"/>
  </w:num>
  <w:num w:numId="12" w16cid:durableId="378365241">
    <w:abstractNumId w:val="7"/>
  </w:num>
  <w:num w:numId="13" w16cid:durableId="818881433">
    <w:abstractNumId w:val="19"/>
  </w:num>
  <w:num w:numId="14" w16cid:durableId="711686487">
    <w:abstractNumId w:val="27"/>
  </w:num>
  <w:num w:numId="15" w16cid:durableId="1567884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333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8962824">
    <w:abstractNumId w:val="24"/>
  </w:num>
  <w:num w:numId="18" w16cid:durableId="1385982856">
    <w:abstractNumId w:val="5"/>
  </w:num>
  <w:num w:numId="19" w16cid:durableId="1140029078">
    <w:abstractNumId w:val="25"/>
  </w:num>
  <w:num w:numId="20" w16cid:durableId="1575430830">
    <w:abstractNumId w:val="17"/>
  </w:num>
  <w:num w:numId="21" w16cid:durableId="1861579212">
    <w:abstractNumId w:val="22"/>
  </w:num>
  <w:num w:numId="22" w16cid:durableId="930159127">
    <w:abstractNumId w:val="4"/>
  </w:num>
  <w:num w:numId="23" w16cid:durableId="1995718856">
    <w:abstractNumId w:val="29"/>
  </w:num>
  <w:num w:numId="24" w16cid:durableId="16205236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5772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3928304">
    <w:abstractNumId w:val="1"/>
  </w:num>
  <w:num w:numId="27" w16cid:durableId="489911703">
    <w:abstractNumId w:val="20"/>
  </w:num>
  <w:num w:numId="28" w16cid:durableId="1219628456">
    <w:abstractNumId w:val="18"/>
  </w:num>
  <w:num w:numId="29" w16cid:durableId="125242217">
    <w:abstractNumId w:val="2"/>
  </w:num>
  <w:num w:numId="30" w16cid:durableId="1784693356">
    <w:abstractNumId w:val="13"/>
  </w:num>
  <w:num w:numId="31" w16cid:durableId="1278488090">
    <w:abstractNumId w:val="13"/>
  </w:num>
  <w:num w:numId="32" w16cid:durableId="1566918223">
    <w:abstractNumId w:val="23"/>
  </w:num>
  <w:num w:numId="33" w16cid:durableId="1681393345">
    <w:abstractNumId w:val="26"/>
  </w:num>
  <w:num w:numId="34" w16cid:durableId="1539051770">
    <w:abstractNumId w:val="3"/>
  </w:num>
  <w:num w:numId="35" w16cid:durableId="408045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AFB"/>
    <w:rsid w:val="00021F63"/>
    <w:rsid w:val="000345D5"/>
    <w:rsid w:val="000408D0"/>
    <w:rsid w:val="00040EA6"/>
    <w:rsid w:val="000538DD"/>
    <w:rsid w:val="000566F2"/>
    <w:rsid w:val="00065D79"/>
    <w:rsid w:val="00066D7D"/>
    <w:rsid w:val="00067E44"/>
    <w:rsid w:val="0007566F"/>
    <w:rsid w:val="00083621"/>
    <w:rsid w:val="0008501B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FD1"/>
    <w:rsid w:val="001061CD"/>
    <w:rsid w:val="00124779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10EA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684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2CD"/>
    <w:rsid w:val="003958C3"/>
    <w:rsid w:val="00396BEE"/>
    <w:rsid w:val="003A74F6"/>
    <w:rsid w:val="003B05A4"/>
    <w:rsid w:val="003B2625"/>
    <w:rsid w:val="003B4C7B"/>
    <w:rsid w:val="003C0C49"/>
    <w:rsid w:val="003C2D77"/>
    <w:rsid w:val="003C791B"/>
    <w:rsid w:val="003D33EB"/>
    <w:rsid w:val="003D7B04"/>
    <w:rsid w:val="003E3347"/>
    <w:rsid w:val="003E4DB7"/>
    <w:rsid w:val="003E5852"/>
    <w:rsid w:val="003E7159"/>
    <w:rsid w:val="003F03CB"/>
    <w:rsid w:val="003F0D9F"/>
    <w:rsid w:val="003F49C0"/>
    <w:rsid w:val="003F54ED"/>
    <w:rsid w:val="003F7F1D"/>
    <w:rsid w:val="00402CA3"/>
    <w:rsid w:val="00412321"/>
    <w:rsid w:val="00420423"/>
    <w:rsid w:val="00420943"/>
    <w:rsid w:val="00421292"/>
    <w:rsid w:val="00421C92"/>
    <w:rsid w:val="0042639F"/>
    <w:rsid w:val="00436081"/>
    <w:rsid w:val="004443A9"/>
    <w:rsid w:val="004476B9"/>
    <w:rsid w:val="00453860"/>
    <w:rsid w:val="004718C4"/>
    <w:rsid w:val="004863D0"/>
    <w:rsid w:val="004A5FF4"/>
    <w:rsid w:val="004A648F"/>
    <w:rsid w:val="004B1994"/>
    <w:rsid w:val="004B4A8E"/>
    <w:rsid w:val="004C0427"/>
    <w:rsid w:val="004C05DD"/>
    <w:rsid w:val="004C0C90"/>
    <w:rsid w:val="004C4C73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6EB9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304"/>
    <w:rsid w:val="0063710A"/>
    <w:rsid w:val="006402B9"/>
    <w:rsid w:val="0064305E"/>
    <w:rsid w:val="0064692B"/>
    <w:rsid w:val="00650483"/>
    <w:rsid w:val="00652F4D"/>
    <w:rsid w:val="00656B22"/>
    <w:rsid w:val="006679FA"/>
    <w:rsid w:val="006706CF"/>
    <w:rsid w:val="0067325B"/>
    <w:rsid w:val="00675992"/>
    <w:rsid w:val="00677447"/>
    <w:rsid w:val="00695493"/>
    <w:rsid w:val="006962AD"/>
    <w:rsid w:val="006967EB"/>
    <w:rsid w:val="006A3B50"/>
    <w:rsid w:val="006A4A80"/>
    <w:rsid w:val="006B3B8D"/>
    <w:rsid w:val="006C4CC7"/>
    <w:rsid w:val="006D4118"/>
    <w:rsid w:val="006E08F4"/>
    <w:rsid w:val="006E6EB8"/>
    <w:rsid w:val="006F0FF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04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20C"/>
    <w:rsid w:val="0082642B"/>
    <w:rsid w:val="00826D2C"/>
    <w:rsid w:val="00831C1A"/>
    <w:rsid w:val="00831D58"/>
    <w:rsid w:val="00840BF9"/>
    <w:rsid w:val="008413A6"/>
    <w:rsid w:val="00843AA7"/>
    <w:rsid w:val="00843FAD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4D2"/>
    <w:rsid w:val="008E74A7"/>
    <w:rsid w:val="008F3152"/>
    <w:rsid w:val="008F73DB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C89"/>
    <w:rsid w:val="00963E38"/>
    <w:rsid w:val="00966286"/>
    <w:rsid w:val="009820E8"/>
    <w:rsid w:val="00985BFB"/>
    <w:rsid w:val="009920A4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D49"/>
    <w:rsid w:val="009F3901"/>
    <w:rsid w:val="009F75C6"/>
    <w:rsid w:val="00A03904"/>
    <w:rsid w:val="00A05EA6"/>
    <w:rsid w:val="00A271D4"/>
    <w:rsid w:val="00A318A9"/>
    <w:rsid w:val="00A31D4C"/>
    <w:rsid w:val="00A32AB3"/>
    <w:rsid w:val="00A36AAC"/>
    <w:rsid w:val="00A418F6"/>
    <w:rsid w:val="00A427B9"/>
    <w:rsid w:val="00A55621"/>
    <w:rsid w:val="00A74D9D"/>
    <w:rsid w:val="00A76680"/>
    <w:rsid w:val="00A77CD4"/>
    <w:rsid w:val="00A904E7"/>
    <w:rsid w:val="00A97118"/>
    <w:rsid w:val="00AA1C3A"/>
    <w:rsid w:val="00AA6703"/>
    <w:rsid w:val="00AA6A08"/>
    <w:rsid w:val="00AB30F4"/>
    <w:rsid w:val="00AB44BF"/>
    <w:rsid w:val="00AC18A4"/>
    <w:rsid w:val="00AC3DC9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05CE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559D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5D7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446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03F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51AE"/>
    <w:rsid w:val="00EA2441"/>
    <w:rsid w:val="00EA64B3"/>
    <w:rsid w:val="00EB46BB"/>
    <w:rsid w:val="00EB523E"/>
    <w:rsid w:val="00EB693C"/>
    <w:rsid w:val="00EB7FA0"/>
    <w:rsid w:val="00EC3687"/>
    <w:rsid w:val="00EC6633"/>
    <w:rsid w:val="00EC71D9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55AC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E38"/>
    <w:rsid w:val="00F91DE1"/>
    <w:rsid w:val="00FA4167"/>
    <w:rsid w:val="00FB319D"/>
    <w:rsid w:val="00FB336E"/>
    <w:rsid w:val="00FC4FAC"/>
    <w:rsid w:val="00FD202D"/>
    <w:rsid w:val="00FE34F1"/>
    <w:rsid w:val="00FF3B40"/>
    <w:rsid w:val="00FF50F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BDEB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3912CD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3912CD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829A-8053-43E2-9F55-945C2D71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1173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Kučera</cp:lastModifiedBy>
  <cp:revision>10</cp:revision>
  <cp:lastPrinted>2022-11-22T13:24:00Z</cp:lastPrinted>
  <dcterms:created xsi:type="dcterms:W3CDTF">2022-11-22T11:17:00Z</dcterms:created>
  <dcterms:modified xsi:type="dcterms:W3CDTF">2022-12-21T05:37:00Z</dcterms:modified>
</cp:coreProperties>
</file>