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9CE1" w14:textId="77777777" w:rsidR="00407C08" w:rsidRDefault="00407C08" w:rsidP="001D2864">
      <w:pPr>
        <w:spacing w:after="120"/>
        <w:jc w:val="center"/>
        <w:rPr>
          <w:rFonts w:ascii="Arial" w:hAnsi="Arial" w:cs="Arial"/>
          <w:b/>
        </w:rPr>
      </w:pPr>
    </w:p>
    <w:p w14:paraId="7B319F95" w14:textId="77777777" w:rsidR="00407C08" w:rsidRDefault="00407C08" w:rsidP="001D2864">
      <w:pPr>
        <w:spacing w:after="120"/>
        <w:jc w:val="center"/>
        <w:rPr>
          <w:rFonts w:ascii="Arial" w:hAnsi="Arial" w:cs="Arial"/>
          <w:b/>
        </w:rPr>
      </w:pPr>
    </w:p>
    <w:p w14:paraId="08CF6572" w14:textId="1582C125" w:rsidR="00407C08" w:rsidRDefault="00407C08" w:rsidP="00407C08">
      <w:pPr>
        <w:spacing w:line="276" w:lineRule="auto"/>
        <w:jc w:val="center"/>
        <w:rPr>
          <w:noProof/>
        </w:rPr>
      </w:pPr>
      <w:r w:rsidRPr="00285E57">
        <w:rPr>
          <w:noProof/>
        </w:rPr>
        <w:drawing>
          <wp:inline distT="0" distB="0" distL="0" distR="0" wp14:anchorId="06DDDF62" wp14:editId="5A0CF391">
            <wp:extent cx="815340" cy="990600"/>
            <wp:effectExtent l="0" t="0" r="3810" b="0"/>
            <wp:docPr id="4601335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3700A" w14:textId="77777777" w:rsidR="00407C08" w:rsidRPr="000642A8" w:rsidRDefault="00407C08" w:rsidP="00407C08">
      <w:pPr>
        <w:spacing w:line="276" w:lineRule="auto"/>
        <w:ind w:left="2832" w:firstLine="708"/>
        <w:rPr>
          <w:rFonts w:ascii="Book Antiqua" w:hAnsi="Book Antiqua" w:cs="Arial"/>
          <w:b/>
        </w:rPr>
      </w:pPr>
      <w:r w:rsidRPr="000642A8">
        <w:rPr>
          <w:rFonts w:ascii="Book Antiqua" w:hAnsi="Book Antiqua" w:cs="Arial"/>
          <w:b/>
        </w:rPr>
        <w:t>OBEC PAVLOV</w:t>
      </w:r>
    </w:p>
    <w:p w14:paraId="429DF282" w14:textId="77777777" w:rsidR="00407C08" w:rsidRDefault="00407C08" w:rsidP="00407C08">
      <w:pPr>
        <w:spacing w:line="276" w:lineRule="auto"/>
        <w:jc w:val="center"/>
        <w:rPr>
          <w:rFonts w:ascii="Book Antiqua" w:hAnsi="Book Antiqua" w:cs="Arial"/>
          <w:b/>
        </w:rPr>
      </w:pPr>
      <w:r w:rsidRPr="000642A8">
        <w:rPr>
          <w:rFonts w:ascii="Book Antiqua" w:hAnsi="Book Antiqua" w:cs="Arial"/>
          <w:b/>
        </w:rPr>
        <w:t>Zastupitelstvo obce Pavlov</w:t>
      </w:r>
    </w:p>
    <w:p w14:paraId="62655B4B" w14:textId="77777777" w:rsidR="00FF3E70" w:rsidRDefault="00FF3E70" w:rsidP="00407C08">
      <w:pPr>
        <w:spacing w:line="276" w:lineRule="auto"/>
        <w:jc w:val="center"/>
        <w:rPr>
          <w:rFonts w:ascii="Book Antiqua" w:hAnsi="Book Antiqua" w:cs="Arial"/>
          <w:b/>
        </w:rPr>
      </w:pPr>
    </w:p>
    <w:p w14:paraId="406D3044" w14:textId="77777777" w:rsidR="00407C08" w:rsidRDefault="00407C08" w:rsidP="00407C08">
      <w:pPr>
        <w:pStyle w:val="NormlnIMP"/>
        <w:spacing w:line="240" w:lineRule="auto"/>
        <w:jc w:val="center"/>
        <w:rPr>
          <w:rFonts w:ascii="Book Antiqua" w:hAnsi="Book Antiqua" w:cs="Arial"/>
          <w:b/>
        </w:rPr>
      </w:pPr>
      <w:r w:rsidRPr="000642A8">
        <w:rPr>
          <w:rFonts w:ascii="Book Antiqua" w:hAnsi="Book Antiqua" w:cs="Arial"/>
          <w:b/>
        </w:rPr>
        <w:t>Obecně závazná vyhláška obce Pavlov</w:t>
      </w:r>
    </w:p>
    <w:p w14:paraId="2AEEB28D" w14:textId="77777777" w:rsidR="00407C08" w:rsidRDefault="00407C08" w:rsidP="001D2864">
      <w:pPr>
        <w:spacing w:after="120"/>
        <w:jc w:val="center"/>
        <w:rPr>
          <w:rFonts w:ascii="Arial" w:hAnsi="Arial" w:cs="Arial"/>
          <w:b/>
        </w:rPr>
      </w:pPr>
    </w:p>
    <w:p w14:paraId="0F5928F0" w14:textId="57FD4937" w:rsidR="005545D7" w:rsidRPr="00407C08" w:rsidRDefault="005545D7" w:rsidP="001D2864">
      <w:pPr>
        <w:spacing w:after="120"/>
        <w:jc w:val="center"/>
        <w:rPr>
          <w:rFonts w:ascii="Book Antiqua" w:hAnsi="Book Antiqua" w:cs="Arial"/>
          <w:b/>
        </w:rPr>
      </w:pPr>
      <w:r w:rsidRPr="00407C08">
        <w:rPr>
          <w:rFonts w:ascii="Book Antiqua" w:hAnsi="Book Antiqua" w:cs="Arial"/>
          <w:b/>
        </w:rPr>
        <w:t>o nočním klidu</w:t>
      </w:r>
    </w:p>
    <w:p w14:paraId="6A843AFA" w14:textId="54DE4C9D" w:rsidR="005545D7" w:rsidRPr="00407C08" w:rsidRDefault="005545D7" w:rsidP="005545D7">
      <w:pPr>
        <w:spacing w:after="120"/>
        <w:jc w:val="both"/>
        <w:rPr>
          <w:rFonts w:ascii="Book Antiqua" w:hAnsi="Book Antiqua" w:cs="Arial"/>
          <w:sz w:val="22"/>
          <w:szCs w:val="22"/>
        </w:rPr>
      </w:pPr>
      <w:r w:rsidRPr="00407C08">
        <w:rPr>
          <w:rFonts w:ascii="Book Antiqua" w:hAnsi="Book Antiqua" w:cs="Arial"/>
          <w:sz w:val="22"/>
          <w:szCs w:val="22"/>
        </w:rPr>
        <w:t xml:space="preserve">Zastupitelstvo obce </w:t>
      </w:r>
      <w:r w:rsidR="00567848" w:rsidRPr="00407C08">
        <w:rPr>
          <w:rFonts w:ascii="Book Antiqua" w:hAnsi="Book Antiqua" w:cs="Arial"/>
          <w:sz w:val="22"/>
          <w:szCs w:val="22"/>
        </w:rPr>
        <w:t>Pavlov</w:t>
      </w:r>
      <w:r w:rsidRPr="00407C08">
        <w:rPr>
          <w:rFonts w:ascii="Book Antiqua" w:hAnsi="Book Antiqua" w:cs="Arial"/>
          <w:sz w:val="22"/>
          <w:szCs w:val="22"/>
        </w:rPr>
        <w:t xml:space="preserve"> se na sv</w:t>
      </w:r>
      <w:r w:rsidR="001D2864" w:rsidRPr="00407C08">
        <w:rPr>
          <w:rFonts w:ascii="Book Antiqua" w:hAnsi="Book Antiqua" w:cs="Arial"/>
          <w:sz w:val="22"/>
          <w:szCs w:val="22"/>
        </w:rPr>
        <w:t>ém zasedání dne</w:t>
      </w:r>
      <w:r w:rsidR="00407C08" w:rsidRPr="00407C08">
        <w:rPr>
          <w:rFonts w:ascii="Book Antiqua" w:hAnsi="Book Antiqua" w:cs="Arial"/>
          <w:sz w:val="22"/>
          <w:szCs w:val="22"/>
        </w:rPr>
        <w:t xml:space="preserve"> 7. 11. 2023</w:t>
      </w:r>
      <w:r w:rsidR="004D6BC6" w:rsidRPr="00407C08">
        <w:rPr>
          <w:rFonts w:ascii="Book Antiqua" w:hAnsi="Book Antiqua" w:cs="Arial"/>
          <w:sz w:val="22"/>
          <w:szCs w:val="22"/>
        </w:rPr>
        <w:t xml:space="preserve"> usnesením č. </w:t>
      </w:r>
      <w:r w:rsidR="00407C08" w:rsidRPr="00407C08">
        <w:rPr>
          <w:rFonts w:ascii="Book Antiqua" w:hAnsi="Book Antiqua" w:cs="Arial"/>
          <w:sz w:val="22"/>
          <w:szCs w:val="22"/>
        </w:rPr>
        <w:t xml:space="preserve">9 </w:t>
      </w:r>
      <w:r w:rsidRPr="00407C08">
        <w:rPr>
          <w:rFonts w:ascii="Book Antiqua" w:hAnsi="Book Antiqua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407C08">
        <w:rPr>
          <w:rFonts w:ascii="Book Antiqua" w:hAnsi="Book Antiqua" w:cs="Arial"/>
          <w:sz w:val="22"/>
          <w:szCs w:val="22"/>
        </w:rPr>
        <w:t>5</w:t>
      </w:r>
      <w:r w:rsidRPr="00407C08">
        <w:rPr>
          <w:rFonts w:ascii="Book Antiqua" w:hAnsi="Book Antiqua" w:cs="Arial"/>
          <w:sz w:val="22"/>
          <w:szCs w:val="22"/>
        </w:rPr>
        <w:t xml:space="preserve"> odst. </w:t>
      </w:r>
      <w:r w:rsidR="000561EB" w:rsidRPr="00407C08">
        <w:rPr>
          <w:rFonts w:ascii="Book Antiqua" w:hAnsi="Book Antiqua" w:cs="Arial"/>
          <w:sz w:val="22"/>
          <w:szCs w:val="22"/>
        </w:rPr>
        <w:t>7</w:t>
      </w:r>
      <w:r w:rsidRPr="00407C08">
        <w:rPr>
          <w:rFonts w:ascii="Book Antiqua" w:hAnsi="Book Antiqua" w:cs="Arial"/>
          <w:sz w:val="22"/>
          <w:szCs w:val="22"/>
        </w:rPr>
        <w:t xml:space="preserve"> zákona č. 2</w:t>
      </w:r>
      <w:r w:rsidR="00D06446" w:rsidRPr="00407C08">
        <w:rPr>
          <w:rFonts w:ascii="Book Antiqua" w:hAnsi="Book Antiqua" w:cs="Arial"/>
          <w:sz w:val="22"/>
          <w:szCs w:val="22"/>
        </w:rPr>
        <w:t>51</w:t>
      </w:r>
      <w:r w:rsidRPr="00407C08">
        <w:rPr>
          <w:rFonts w:ascii="Book Antiqua" w:hAnsi="Book Antiqua" w:cs="Arial"/>
          <w:sz w:val="22"/>
          <w:szCs w:val="22"/>
        </w:rPr>
        <w:t>/</w:t>
      </w:r>
      <w:r w:rsidR="00D06446" w:rsidRPr="00407C08">
        <w:rPr>
          <w:rFonts w:ascii="Book Antiqua" w:hAnsi="Book Antiqua" w:cs="Arial"/>
          <w:sz w:val="22"/>
          <w:szCs w:val="22"/>
        </w:rPr>
        <w:t>2016</w:t>
      </w:r>
      <w:r w:rsidRPr="00407C08">
        <w:rPr>
          <w:rFonts w:ascii="Book Antiqua" w:hAnsi="Book Antiqua" w:cs="Arial"/>
          <w:sz w:val="22"/>
          <w:szCs w:val="22"/>
        </w:rPr>
        <w:t xml:space="preserve"> Sb., o </w:t>
      </w:r>
      <w:r w:rsidR="00D06446" w:rsidRPr="00407C08">
        <w:rPr>
          <w:rFonts w:ascii="Book Antiqua" w:hAnsi="Book Antiqua" w:cs="Arial"/>
          <w:sz w:val="22"/>
          <w:szCs w:val="22"/>
        </w:rPr>
        <w:t xml:space="preserve">některých </w:t>
      </w:r>
      <w:r w:rsidRPr="00407C08">
        <w:rPr>
          <w:rFonts w:ascii="Book Antiqua" w:hAnsi="Book Antiqua" w:cs="Arial"/>
          <w:sz w:val="22"/>
          <w:szCs w:val="22"/>
        </w:rPr>
        <w:t>přestupcích</w:t>
      </w:r>
      <w:r w:rsidR="000C0C56" w:rsidRPr="00407C08">
        <w:rPr>
          <w:rFonts w:ascii="Book Antiqua" w:hAnsi="Book Antiqua" w:cs="Arial"/>
          <w:sz w:val="22"/>
          <w:szCs w:val="22"/>
        </w:rPr>
        <w:t>,</w:t>
      </w:r>
      <w:r w:rsidR="00D06446" w:rsidRPr="00407C08">
        <w:rPr>
          <w:rFonts w:ascii="Book Antiqua" w:hAnsi="Book Antiqua" w:cs="Arial"/>
          <w:sz w:val="22"/>
          <w:szCs w:val="22"/>
        </w:rPr>
        <w:t xml:space="preserve"> </w:t>
      </w:r>
      <w:r w:rsidR="00170654" w:rsidRPr="00407C08">
        <w:rPr>
          <w:rFonts w:ascii="Book Antiqua" w:hAnsi="Book Antiqua" w:cs="Arial"/>
          <w:sz w:val="22"/>
          <w:szCs w:val="22"/>
        </w:rPr>
        <w:t xml:space="preserve">ve znění pozdějších předpisů, </w:t>
      </w:r>
      <w:r w:rsidRPr="00407C08">
        <w:rPr>
          <w:rFonts w:ascii="Book Antiqua" w:hAnsi="Book Antiqua" w:cs="Arial"/>
          <w:sz w:val="22"/>
          <w:szCs w:val="22"/>
        </w:rPr>
        <w:t>tuto obecně závaznou vyhlášku:</w:t>
      </w:r>
    </w:p>
    <w:p w14:paraId="6DD78712" w14:textId="77777777" w:rsidR="00224922" w:rsidRPr="00407C08" w:rsidRDefault="00224922" w:rsidP="005545D7">
      <w:pPr>
        <w:spacing w:after="120"/>
        <w:jc w:val="both"/>
        <w:rPr>
          <w:rFonts w:ascii="Book Antiqua" w:hAnsi="Book Antiqua" w:cs="Arial"/>
          <w:sz w:val="22"/>
          <w:szCs w:val="22"/>
        </w:rPr>
      </w:pPr>
    </w:p>
    <w:p w14:paraId="0065C038" w14:textId="77777777" w:rsidR="005545D7" w:rsidRPr="00407C08" w:rsidRDefault="005545D7" w:rsidP="005545D7">
      <w:pPr>
        <w:jc w:val="center"/>
        <w:rPr>
          <w:rFonts w:ascii="Book Antiqua" w:hAnsi="Book Antiqua" w:cs="Arial"/>
          <w:b/>
          <w:sz w:val="22"/>
          <w:szCs w:val="22"/>
        </w:rPr>
      </w:pPr>
      <w:r w:rsidRPr="00407C08">
        <w:rPr>
          <w:rFonts w:ascii="Book Antiqua" w:hAnsi="Book Antiqua" w:cs="Arial"/>
          <w:b/>
          <w:sz w:val="22"/>
          <w:szCs w:val="22"/>
        </w:rPr>
        <w:t>Čl. 1</w:t>
      </w:r>
    </w:p>
    <w:p w14:paraId="5A8BCF6D" w14:textId="77777777" w:rsidR="005545D7" w:rsidRPr="00407C08" w:rsidRDefault="005545D7" w:rsidP="005545D7">
      <w:pPr>
        <w:jc w:val="center"/>
        <w:rPr>
          <w:rFonts w:ascii="Book Antiqua" w:hAnsi="Book Antiqua" w:cs="Arial"/>
          <w:b/>
          <w:sz w:val="22"/>
          <w:szCs w:val="22"/>
        </w:rPr>
      </w:pPr>
      <w:r w:rsidRPr="00407C08">
        <w:rPr>
          <w:rFonts w:ascii="Book Antiqua" w:hAnsi="Book Antiqua" w:cs="Arial"/>
          <w:b/>
          <w:sz w:val="22"/>
          <w:szCs w:val="22"/>
        </w:rPr>
        <w:t xml:space="preserve">Předmět </w:t>
      </w:r>
    </w:p>
    <w:p w14:paraId="40A17372" w14:textId="77777777" w:rsidR="005545D7" w:rsidRPr="00407C08" w:rsidRDefault="005545D7" w:rsidP="005545D7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0CD6C564" w14:textId="77777777" w:rsidR="005545D7" w:rsidRPr="00407C08" w:rsidRDefault="005545D7" w:rsidP="005545D7">
      <w:pPr>
        <w:spacing w:after="120"/>
        <w:jc w:val="both"/>
        <w:rPr>
          <w:rFonts w:ascii="Book Antiqua" w:hAnsi="Book Antiqua" w:cs="Arial"/>
          <w:sz w:val="22"/>
          <w:szCs w:val="22"/>
        </w:rPr>
      </w:pPr>
      <w:r w:rsidRPr="00407C08">
        <w:rPr>
          <w:rFonts w:ascii="Book Antiqua" w:hAnsi="Book Antiqua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1D2864" w:rsidRPr="00407C08">
        <w:rPr>
          <w:rFonts w:ascii="Book Antiqua" w:hAnsi="Book Antiqua" w:cs="Arial"/>
          <w:sz w:val="22"/>
          <w:szCs w:val="22"/>
        </w:rPr>
        <w:t>, než stanoví zákon,</w:t>
      </w:r>
      <w:r w:rsidRPr="00407C08">
        <w:rPr>
          <w:rFonts w:ascii="Book Antiqua" w:hAnsi="Book Antiqua" w:cs="Arial"/>
          <w:sz w:val="22"/>
          <w:szCs w:val="22"/>
        </w:rPr>
        <w:t xml:space="preserve"> nebo </w:t>
      </w:r>
      <w:r w:rsidR="00D06446" w:rsidRPr="00407C08">
        <w:rPr>
          <w:rFonts w:ascii="Book Antiqua" w:hAnsi="Book Antiqua" w:cs="Arial"/>
          <w:sz w:val="22"/>
          <w:szCs w:val="22"/>
        </w:rPr>
        <w:t>při nichž nemusí být doba nočního klidu dodržována.</w:t>
      </w:r>
    </w:p>
    <w:p w14:paraId="265F532A" w14:textId="77777777" w:rsidR="00224922" w:rsidRPr="00407C08" w:rsidRDefault="00224922" w:rsidP="005545D7">
      <w:pPr>
        <w:spacing w:after="120"/>
        <w:jc w:val="both"/>
        <w:rPr>
          <w:rFonts w:ascii="Book Antiqua" w:hAnsi="Book Antiqua" w:cs="Arial"/>
          <w:sz w:val="22"/>
          <w:szCs w:val="22"/>
        </w:rPr>
      </w:pPr>
    </w:p>
    <w:p w14:paraId="320630D3" w14:textId="77777777" w:rsidR="005545D7" w:rsidRPr="00407C08" w:rsidRDefault="005545D7" w:rsidP="005545D7">
      <w:pPr>
        <w:jc w:val="center"/>
        <w:rPr>
          <w:rFonts w:ascii="Book Antiqua" w:hAnsi="Book Antiqua" w:cs="Arial"/>
          <w:b/>
          <w:sz w:val="22"/>
          <w:szCs w:val="22"/>
        </w:rPr>
      </w:pPr>
      <w:r w:rsidRPr="00407C08">
        <w:rPr>
          <w:rFonts w:ascii="Book Antiqua" w:hAnsi="Book Antiqua" w:cs="Arial"/>
          <w:b/>
          <w:sz w:val="22"/>
          <w:szCs w:val="22"/>
        </w:rPr>
        <w:t>Čl. 2</w:t>
      </w:r>
    </w:p>
    <w:p w14:paraId="328BDBD4" w14:textId="77777777" w:rsidR="005545D7" w:rsidRPr="00407C08" w:rsidRDefault="005545D7" w:rsidP="005545D7">
      <w:pPr>
        <w:jc w:val="center"/>
        <w:rPr>
          <w:rFonts w:ascii="Book Antiqua" w:hAnsi="Book Antiqua" w:cs="Arial"/>
          <w:b/>
          <w:sz w:val="22"/>
          <w:szCs w:val="22"/>
        </w:rPr>
      </w:pPr>
      <w:r w:rsidRPr="00407C08">
        <w:rPr>
          <w:rFonts w:ascii="Book Antiqua" w:hAnsi="Book Antiqua" w:cs="Arial"/>
          <w:b/>
          <w:sz w:val="22"/>
          <w:szCs w:val="22"/>
        </w:rPr>
        <w:t>Doba nočního klidu</w:t>
      </w:r>
    </w:p>
    <w:p w14:paraId="3A7D314D" w14:textId="77777777" w:rsidR="005545D7" w:rsidRPr="00407C08" w:rsidRDefault="005545D7" w:rsidP="005545D7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6FD93647" w14:textId="77777777" w:rsidR="005545D7" w:rsidRPr="00407C08" w:rsidRDefault="005545D7" w:rsidP="00166688">
      <w:pPr>
        <w:spacing w:after="120"/>
        <w:jc w:val="both"/>
        <w:rPr>
          <w:rFonts w:ascii="Book Antiqua" w:hAnsi="Book Antiqua" w:cs="Arial"/>
          <w:sz w:val="22"/>
          <w:szCs w:val="22"/>
        </w:rPr>
      </w:pPr>
      <w:r w:rsidRPr="00407C08">
        <w:rPr>
          <w:rFonts w:ascii="Book Antiqua" w:hAnsi="Book Antiqua" w:cs="Arial"/>
          <w:sz w:val="22"/>
          <w:szCs w:val="22"/>
        </w:rPr>
        <w:t xml:space="preserve">Dobou </w:t>
      </w:r>
      <w:r w:rsidR="001D2864" w:rsidRPr="00407C08">
        <w:rPr>
          <w:rFonts w:ascii="Book Antiqua" w:hAnsi="Book Antiqua" w:cs="Arial"/>
          <w:sz w:val="22"/>
          <w:szCs w:val="22"/>
        </w:rPr>
        <w:t>nočního klidu se rozumí doba od dvacáté druhé do šesté hodiny</w:t>
      </w:r>
      <w:r w:rsidRPr="00407C08">
        <w:rPr>
          <w:rFonts w:ascii="Book Antiqua" w:hAnsi="Book Antiqua" w:cs="Arial"/>
          <w:sz w:val="22"/>
          <w:szCs w:val="22"/>
        </w:rPr>
        <w:t>.</w:t>
      </w:r>
      <w:r w:rsidRPr="00407C08">
        <w:rPr>
          <w:rStyle w:val="Znakapoznpodarou"/>
          <w:rFonts w:ascii="Book Antiqua" w:hAnsi="Book Antiqua" w:cs="Arial"/>
          <w:sz w:val="22"/>
          <w:szCs w:val="22"/>
        </w:rPr>
        <w:footnoteReference w:id="1"/>
      </w:r>
    </w:p>
    <w:p w14:paraId="7B0443CA" w14:textId="77777777" w:rsidR="009929BE" w:rsidRPr="00407C08" w:rsidRDefault="009929BE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6DA9A247" w14:textId="77777777" w:rsidR="005545D7" w:rsidRPr="00407C08" w:rsidRDefault="00032137" w:rsidP="005545D7">
      <w:pPr>
        <w:jc w:val="center"/>
        <w:rPr>
          <w:rFonts w:ascii="Book Antiqua" w:hAnsi="Book Antiqua" w:cs="Arial"/>
          <w:b/>
          <w:sz w:val="22"/>
          <w:szCs w:val="22"/>
        </w:rPr>
      </w:pPr>
      <w:r w:rsidRPr="00407C08">
        <w:rPr>
          <w:rFonts w:ascii="Book Antiqua" w:hAnsi="Book Antiqua" w:cs="Arial"/>
          <w:b/>
          <w:sz w:val="22"/>
          <w:szCs w:val="22"/>
        </w:rPr>
        <w:t>Č</w:t>
      </w:r>
      <w:r w:rsidR="005545D7" w:rsidRPr="00407C08">
        <w:rPr>
          <w:rFonts w:ascii="Book Antiqua" w:hAnsi="Book Antiqua" w:cs="Arial"/>
          <w:b/>
          <w:sz w:val="22"/>
          <w:szCs w:val="22"/>
        </w:rPr>
        <w:t>l. 3</w:t>
      </w:r>
    </w:p>
    <w:p w14:paraId="1FC36E6A" w14:textId="77777777" w:rsidR="005545D7" w:rsidRPr="00407C08" w:rsidRDefault="005545D7" w:rsidP="00C0534C">
      <w:pPr>
        <w:jc w:val="center"/>
        <w:rPr>
          <w:rFonts w:ascii="Book Antiqua" w:hAnsi="Book Antiqua" w:cs="Arial"/>
          <w:b/>
          <w:sz w:val="22"/>
          <w:szCs w:val="22"/>
        </w:rPr>
      </w:pPr>
      <w:r w:rsidRPr="00407C08">
        <w:rPr>
          <w:rFonts w:ascii="Book Antiqua" w:hAnsi="Book Antiqua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407C08">
        <w:rPr>
          <w:rFonts w:ascii="Book Antiqua" w:hAnsi="Book Antiqua" w:cs="Arial"/>
          <w:b/>
          <w:sz w:val="22"/>
          <w:szCs w:val="22"/>
        </w:rPr>
        <w:t>při nichž nemusí být doba nočního klidu dodržována</w:t>
      </w:r>
    </w:p>
    <w:p w14:paraId="276F8C49" w14:textId="77777777" w:rsidR="009929BE" w:rsidRPr="00407C08" w:rsidRDefault="009929BE" w:rsidP="005545D7">
      <w:pPr>
        <w:tabs>
          <w:tab w:val="left" w:pos="284"/>
        </w:tabs>
        <w:spacing w:after="120"/>
        <w:rPr>
          <w:rFonts w:ascii="Book Antiqua" w:hAnsi="Book Antiqua" w:cs="Arial"/>
          <w:sz w:val="22"/>
          <w:szCs w:val="22"/>
        </w:rPr>
      </w:pPr>
    </w:p>
    <w:p w14:paraId="7D6593B3" w14:textId="25800E17" w:rsidR="005545D7" w:rsidRPr="00407C08" w:rsidRDefault="005545D7" w:rsidP="003F4D5B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rPr>
          <w:rFonts w:ascii="Book Antiqua" w:hAnsi="Book Antiqua" w:cs="Arial"/>
          <w:sz w:val="22"/>
          <w:szCs w:val="22"/>
        </w:rPr>
      </w:pPr>
      <w:r w:rsidRPr="00407C08">
        <w:rPr>
          <w:rFonts w:ascii="Book Antiqua" w:hAnsi="Book Antiqua" w:cs="Arial"/>
          <w:sz w:val="22"/>
          <w:szCs w:val="22"/>
        </w:rPr>
        <w:t>Doba nočního klidu</w:t>
      </w:r>
      <w:r w:rsidR="00107BCE" w:rsidRPr="00407C08">
        <w:rPr>
          <w:rFonts w:ascii="Book Antiqua" w:hAnsi="Book Antiqua" w:cs="Arial"/>
          <w:sz w:val="22"/>
          <w:szCs w:val="22"/>
        </w:rPr>
        <w:t xml:space="preserve"> </w:t>
      </w:r>
      <w:r w:rsidR="00987A7F" w:rsidRPr="00407C08">
        <w:rPr>
          <w:rFonts w:ascii="Book Antiqua" w:hAnsi="Book Antiqua" w:cs="Arial"/>
          <w:sz w:val="22"/>
          <w:szCs w:val="22"/>
        </w:rPr>
        <w:t>nemusí být dodrž</w:t>
      </w:r>
      <w:r w:rsidR="00887BCF" w:rsidRPr="00407C08">
        <w:rPr>
          <w:rFonts w:ascii="Book Antiqua" w:hAnsi="Book Antiqua" w:cs="Arial"/>
          <w:sz w:val="22"/>
          <w:szCs w:val="22"/>
        </w:rPr>
        <w:t>ována</w:t>
      </w:r>
      <w:r w:rsidR="003F4D5B" w:rsidRPr="00407C08">
        <w:rPr>
          <w:rFonts w:ascii="Book Antiqua" w:hAnsi="Book Antiqua" w:cs="Arial"/>
          <w:sz w:val="22"/>
          <w:szCs w:val="22"/>
        </w:rPr>
        <w:t xml:space="preserve"> </w:t>
      </w:r>
      <w:r w:rsidRPr="00407C08">
        <w:rPr>
          <w:rFonts w:ascii="Book Antiqua" w:hAnsi="Book Antiqua" w:cs="Arial"/>
          <w:sz w:val="22"/>
          <w:szCs w:val="22"/>
        </w:rPr>
        <w:t xml:space="preserve">v noci z 31. prosince na 1. </w:t>
      </w:r>
      <w:r w:rsidR="00887BCF" w:rsidRPr="00407C08">
        <w:rPr>
          <w:rFonts w:ascii="Book Antiqua" w:hAnsi="Book Antiqua" w:cs="Arial"/>
          <w:sz w:val="22"/>
          <w:szCs w:val="22"/>
        </w:rPr>
        <w:t>l</w:t>
      </w:r>
      <w:r w:rsidRPr="00407C08">
        <w:rPr>
          <w:rFonts w:ascii="Book Antiqua" w:hAnsi="Book Antiqua" w:cs="Arial"/>
          <w:sz w:val="22"/>
          <w:szCs w:val="22"/>
        </w:rPr>
        <w:t>edna</w:t>
      </w:r>
      <w:r w:rsidR="00887BCF" w:rsidRPr="00407C08">
        <w:rPr>
          <w:rFonts w:ascii="Book Antiqua" w:hAnsi="Book Antiqua" w:cs="Arial"/>
          <w:sz w:val="22"/>
          <w:szCs w:val="22"/>
        </w:rPr>
        <w:t xml:space="preserve"> z důvodu </w:t>
      </w:r>
      <w:r w:rsidR="00F21B18" w:rsidRPr="00407C08">
        <w:rPr>
          <w:rFonts w:ascii="Book Antiqua" w:hAnsi="Book Antiqua" w:cs="Arial"/>
          <w:sz w:val="22"/>
          <w:szCs w:val="22"/>
        </w:rPr>
        <w:t>konání oslav příchodu nového roku</w:t>
      </w:r>
      <w:r w:rsidR="001D2864" w:rsidRPr="00407C08">
        <w:rPr>
          <w:rFonts w:ascii="Book Antiqua" w:hAnsi="Book Antiqua" w:cs="Arial"/>
          <w:sz w:val="22"/>
          <w:szCs w:val="22"/>
        </w:rPr>
        <w:t>.</w:t>
      </w:r>
    </w:p>
    <w:p w14:paraId="257AC806" w14:textId="35436E59" w:rsidR="003F4D5B" w:rsidRPr="00407C08" w:rsidRDefault="003F4D5B" w:rsidP="003F4D5B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rPr>
          <w:rFonts w:ascii="Book Antiqua" w:hAnsi="Book Antiqua" w:cs="Arial"/>
          <w:sz w:val="22"/>
          <w:szCs w:val="22"/>
        </w:rPr>
      </w:pPr>
      <w:r w:rsidRPr="00407C08">
        <w:rPr>
          <w:rFonts w:ascii="Book Antiqua" w:hAnsi="Book Antiqua" w:cs="Arial"/>
          <w:sz w:val="22"/>
          <w:szCs w:val="22"/>
        </w:rPr>
        <w:t>Doba nočního klidu se u tradičních akcí uvedených v příloze č. 1 této obecně závazné vyhlášky stanovuje dle této přílohy.</w:t>
      </w:r>
    </w:p>
    <w:p w14:paraId="200D91C5" w14:textId="3C62A26A" w:rsidR="005545D7" w:rsidRPr="00407C08" w:rsidRDefault="005545D7" w:rsidP="003F4D5B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Book Antiqua" w:hAnsi="Book Antiqua" w:cs="Arial"/>
          <w:sz w:val="22"/>
          <w:szCs w:val="22"/>
        </w:rPr>
      </w:pPr>
      <w:r w:rsidRPr="00407C08">
        <w:rPr>
          <w:rFonts w:ascii="Book Antiqua" w:hAnsi="Book Antiqua" w:cs="Arial"/>
          <w:sz w:val="22"/>
          <w:szCs w:val="22"/>
        </w:rPr>
        <w:t xml:space="preserve">Informace o konkrétním termínu konání akcí uvedených v odst. </w:t>
      </w:r>
      <w:r w:rsidR="003F4D5B" w:rsidRPr="00407C08">
        <w:rPr>
          <w:rFonts w:ascii="Book Antiqua" w:hAnsi="Book Antiqua" w:cs="Arial"/>
          <w:sz w:val="22"/>
          <w:szCs w:val="22"/>
        </w:rPr>
        <w:t>2</w:t>
      </w:r>
      <w:r w:rsidR="00C0534C" w:rsidRPr="00407C08">
        <w:rPr>
          <w:rFonts w:ascii="Book Antiqua" w:hAnsi="Book Antiqua" w:cs="Arial"/>
          <w:sz w:val="22"/>
          <w:szCs w:val="22"/>
        </w:rPr>
        <w:t xml:space="preserve"> </w:t>
      </w:r>
      <w:r w:rsidR="000D3097" w:rsidRPr="00407C08">
        <w:rPr>
          <w:rFonts w:ascii="Book Antiqua" w:hAnsi="Book Antiqua" w:cs="Arial"/>
          <w:sz w:val="22"/>
          <w:szCs w:val="22"/>
        </w:rPr>
        <w:t>tohoto článku</w:t>
      </w:r>
      <w:r w:rsidRPr="00407C08">
        <w:rPr>
          <w:rFonts w:ascii="Book Antiqua" w:hAnsi="Book Antiqua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439DFADF" w14:textId="77777777" w:rsidR="00343072" w:rsidRPr="00407C08" w:rsidRDefault="00343072" w:rsidP="005350D4">
      <w:pPr>
        <w:tabs>
          <w:tab w:val="left" w:pos="284"/>
        </w:tabs>
        <w:spacing w:after="120"/>
        <w:jc w:val="both"/>
        <w:rPr>
          <w:rFonts w:ascii="Book Antiqua" w:hAnsi="Book Antiqua" w:cs="Arial"/>
          <w:i/>
          <w:sz w:val="22"/>
          <w:szCs w:val="22"/>
        </w:rPr>
      </w:pPr>
    </w:p>
    <w:p w14:paraId="4BE75D8D" w14:textId="77777777" w:rsidR="00407C08" w:rsidRDefault="00407C08" w:rsidP="00E34AAF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4F47B0F9" w14:textId="77777777" w:rsidR="00407C08" w:rsidRDefault="00407C08" w:rsidP="00E34AAF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6A95C97A" w14:textId="77777777" w:rsidR="00407C08" w:rsidRDefault="00407C08" w:rsidP="00E34AAF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1EAE21B8" w14:textId="0C5D1907" w:rsidR="00E34AAF" w:rsidRPr="00407C08" w:rsidRDefault="00E34AAF" w:rsidP="00E34AAF">
      <w:pPr>
        <w:jc w:val="center"/>
        <w:rPr>
          <w:rFonts w:ascii="Book Antiqua" w:hAnsi="Book Antiqua" w:cs="Arial"/>
          <w:b/>
          <w:sz w:val="22"/>
          <w:szCs w:val="22"/>
        </w:rPr>
      </w:pPr>
      <w:r w:rsidRPr="00407C08">
        <w:rPr>
          <w:rFonts w:ascii="Book Antiqua" w:hAnsi="Book Antiqua" w:cs="Arial"/>
          <w:b/>
          <w:sz w:val="22"/>
          <w:szCs w:val="22"/>
        </w:rPr>
        <w:t>Čl. 4</w:t>
      </w:r>
    </w:p>
    <w:p w14:paraId="6B6739EE" w14:textId="77777777" w:rsidR="005545D7" w:rsidRPr="00407C08" w:rsidRDefault="005545D7" w:rsidP="005545D7">
      <w:pPr>
        <w:jc w:val="center"/>
        <w:rPr>
          <w:rFonts w:ascii="Book Antiqua" w:hAnsi="Book Antiqua" w:cs="Arial"/>
          <w:b/>
          <w:sz w:val="22"/>
          <w:szCs w:val="22"/>
        </w:rPr>
      </w:pPr>
      <w:r w:rsidRPr="00407C08">
        <w:rPr>
          <w:rFonts w:ascii="Book Antiqua" w:hAnsi="Book Antiqua" w:cs="Arial"/>
          <w:b/>
          <w:sz w:val="22"/>
          <w:szCs w:val="22"/>
        </w:rPr>
        <w:t>Účinnost</w:t>
      </w:r>
    </w:p>
    <w:p w14:paraId="72264523" w14:textId="77777777" w:rsidR="005545D7" w:rsidRPr="00407C08" w:rsidRDefault="005545D7" w:rsidP="005545D7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413747D3" w14:textId="77777777" w:rsidR="004A2CDB" w:rsidRPr="00407C08" w:rsidRDefault="004A2CDB" w:rsidP="004A2CDB">
      <w:pPr>
        <w:jc w:val="both"/>
        <w:rPr>
          <w:rFonts w:ascii="Book Antiqua" w:hAnsi="Book Antiqua" w:cs="Arial"/>
          <w:sz w:val="22"/>
          <w:szCs w:val="22"/>
        </w:rPr>
      </w:pPr>
      <w:r w:rsidRPr="00407C08">
        <w:rPr>
          <w:rFonts w:ascii="Book Antiqua" w:hAnsi="Book Antiqua" w:cs="Arial"/>
          <w:sz w:val="22"/>
          <w:szCs w:val="22"/>
        </w:rPr>
        <w:t xml:space="preserve">Tato </w:t>
      </w:r>
      <w:r w:rsidR="00DA328A" w:rsidRPr="00407C08">
        <w:rPr>
          <w:rFonts w:ascii="Book Antiqua" w:hAnsi="Book Antiqua" w:cs="Arial"/>
          <w:sz w:val="22"/>
          <w:szCs w:val="22"/>
        </w:rPr>
        <w:t xml:space="preserve">obecně závazná </w:t>
      </w:r>
      <w:r w:rsidRPr="00407C08">
        <w:rPr>
          <w:rFonts w:ascii="Book Antiqua" w:hAnsi="Book Antiqua" w:cs="Arial"/>
          <w:sz w:val="22"/>
          <w:szCs w:val="22"/>
        </w:rPr>
        <w:t>vyhláška nabývá účinnosti počátkem patnáctého dne následujícího po dni jejího vyhlášení.</w:t>
      </w:r>
    </w:p>
    <w:p w14:paraId="00CB4A17" w14:textId="77777777" w:rsidR="005545D7" w:rsidRPr="00407C08" w:rsidRDefault="005545D7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6A8B63B9" w14:textId="77777777" w:rsidR="003F4D5B" w:rsidRPr="00407C08" w:rsidRDefault="005545D7" w:rsidP="005545D7">
      <w:pPr>
        <w:spacing w:after="120"/>
        <w:rPr>
          <w:rFonts w:ascii="Book Antiqua" w:hAnsi="Book Antiqua" w:cs="Arial"/>
          <w:sz w:val="22"/>
          <w:szCs w:val="22"/>
        </w:rPr>
      </w:pPr>
      <w:r w:rsidRPr="00407C08">
        <w:rPr>
          <w:rFonts w:ascii="Book Antiqua" w:hAnsi="Book Antiqua" w:cs="Arial"/>
          <w:sz w:val="22"/>
          <w:szCs w:val="22"/>
        </w:rPr>
        <w:t xml:space="preserve">    </w:t>
      </w:r>
    </w:p>
    <w:p w14:paraId="3F1C06B4" w14:textId="3B489510" w:rsidR="005545D7" w:rsidRPr="00407C08" w:rsidRDefault="00567848" w:rsidP="005545D7">
      <w:pPr>
        <w:spacing w:after="120"/>
        <w:rPr>
          <w:rFonts w:ascii="Book Antiqua" w:hAnsi="Book Antiqua" w:cs="Arial"/>
          <w:sz w:val="22"/>
          <w:szCs w:val="22"/>
        </w:rPr>
      </w:pPr>
      <w:r w:rsidRPr="00407C08">
        <w:rPr>
          <w:rFonts w:ascii="Book Antiqua" w:hAnsi="Book Antiqua" w:cs="Arial"/>
          <w:sz w:val="22"/>
          <w:szCs w:val="22"/>
        </w:rPr>
        <w:t>………………….</w:t>
      </w:r>
      <w:r w:rsidR="005545D7" w:rsidRPr="00407C08">
        <w:rPr>
          <w:rFonts w:ascii="Book Antiqua" w:hAnsi="Book Antiqua" w:cs="Arial"/>
          <w:sz w:val="22"/>
          <w:szCs w:val="22"/>
        </w:rPr>
        <w:t>...</w:t>
      </w:r>
      <w:r w:rsidR="00C0534C" w:rsidRPr="00407C08">
        <w:rPr>
          <w:rFonts w:ascii="Book Antiqua" w:hAnsi="Book Antiqua" w:cs="Arial"/>
          <w:sz w:val="22"/>
          <w:szCs w:val="22"/>
        </w:rPr>
        <w:t>..........................</w:t>
      </w:r>
      <w:r w:rsidR="00C0534C" w:rsidRPr="00407C08">
        <w:rPr>
          <w:rFonts w:ascii="Book Antiqua" w:hAnsi="Book Antiqua" w:cs="Arial"/>
          <w:sz w:val="22"/>
          <w:szCs w:val="22"/>
        </w:rPr>
        <w:tab/>
      </w:r>
      <w:r w:rsidR="00C0534C" w:rsidRPr="00407C08">
        <w:rPr>
          <w:rFonts w:ascii="Book Antiqua" w:hAnsi="Book Antiqua" w:cs="Arial"/>
          <w:sz w:val="22"/>
          <w:szCs w:val="22"/>
        </w:rPr>
        <w:tab/>
      </w:r>
      <w:r w:rsidR="00C0534C" w:rsidRPr="00407C08">
        <w:rPr>
          <w:rFonts w:ascii="Book Antiqua" w:hAnsi="Book Antiqua" w:cs="Arial"/>
          <w:sz w:val="22"/>
          <w:szCs w:val="22"/>
        </w:rPr>
        <w:tab/>
      </w:r>
      <w:r w:rsidR="00C0534C" w:rsidRPr="00407C08">
        <w:rPr>
          <w:rFonts w:ascii="Book Antiqua" w:hAnsi="Book Antiqua" w:cs="Arial"/>
          <w:sz w:val="22"/>
          <w:szCs w:val="22"/>
        </w:rPr>
        <w:tab/>
      </w:r>
      <w:r w:rsidR="005545D7" w:rsidRPr="00407C08">
        <w:rPr>
          <w:rFonts w:ascii="Book Antiqua" w:hAnsi="Book Antiqua" w:cs="Arial"/>
          <w:sz w:val="22"/>
          <w:szCs w:val="22"/>
        </w:rPr>
        <w:t>............</w:t>
      </w:r>
      <w:r w:rsidRPr="00407C08">
        <w:rPr>
          <w:rFonts w:ascii="Book Antiqua" w:hAnsi="Book Antiqua" w:cs="Arial"/>
          <w:sz w:val="22"/>
          <w:szCs w:val="22"/>
        </w:rPr>
        <w:t>...............</w:t>
      </w:r>
      <w:r w:rsidR="005545D7" w:rsidRPr="00407C08">
        <w:rPr>
          <w:rFonts w:ascii="Book Antiqua" w:hAnsi="Book Antiqua" w:cs="Arial"/>
          <w:sz w:val="22"/>
          <w:szCs w:val="22"/>
        </w:rPr>
        <w:t>.......................</w:t>
      </w:r>
    </w:p>
    <w:p w14:paraId="169F0504" w14:textId="6C7EB082" w:rsidR="005545D7" w:rsidRPr="00407C08" w:rsidRDefault="00567848" w:rsidP="00C0534C">
      <w:pPr>
        <w:rPr>
          <w:rFonts w:ascii="Book Antiqua" w:hAnsi="Book Antiqua" w:cs="Arial"/>
          <w:sz w:val="22"/>
          <w:szCs w:val="22"/>
        </w:rPr>
      </w:pPr>
      <w:r w:rsidRPr="00407C08">
        <w:rPr>
          <w:rFonts w:ascii="Book Antiqua" w:hAnsi="Book Antiqua" w:cs="Arial"/>
          <w:sz w:val="22"/>
          <w:szCs w:val="22"/>
        </w:rPr>
        <w:t>JUDr. Pavel Műller</w:t>
      </w:r>
      <w:r w:rsidR="007A6527" w:rsidRPr="00407C08">
        <w:rPr>
          <w:rFonts w:ascii="Book Antiqua" w:hAnsi="Book Antiqua" w:cs="Arial"/>
          <w:sz w:val="22"/>
          <w:szCs w:val="22"/>
        </w:rPr>
        <w:t xml:space="preserve"> v.r.</w:t>
      </w:r>
      <w:r w:rsidRPr="00407C08">
        <w:rPr>
          <w:rFonts w:ascii="Book Antiqua" w:hAnsi="Book Antiqua" w:cs="Arial"/>
          <w:sz w:val="22"/>
          <w:szCs w:val="22"/>
        </w:rPr>
        <w:tab/>
      </w:r>
      <w:r w:rsidRPr="00407C08">
        <w:rPr>
          <w:rFonts w:ascii="Book Antiqua" w:hAnsi="Book Antiqua" w:cs="Arial"/>
          <w:sz w:val="22"/>
          <w:szCs w:val="22"/>
        </w:rPr>
        <w:tab/>
      </w:r>
      <w:r w:rsidRPr="00407C08">
        <w:rPr>
          <w:rFonts w:ascii="Book Antiqua" w:hAnsi="Book Antiqua" w:cs="Arial"/>
          <w:sz w:val="22"/>
          <w:szCs w:val="22"/>
        </w:rPr>
        <w:tab/>
      </w:r>
      <w:r w:rsidRPr="00407C08">
        <w:rPr>
          <w:rFonts w:ascii="Book Antiqua" w:hAnsi="Book Antiqua" w:cs="Arial"/>
          <w:sz w:val="22"/>
          <w:szCs w:val="22"/>
        </w:rPr>
        <w:tab/>
      </w:r>
      <w:r w:rsidRPr="00407C08">
        <w:rPr>
          <w:rFonts w:ascii="Book Antiqua" w:hAnsi="Book Antiqua" w:cs="Arial"/>
          <w:sz w:val="22"/>
          <w:szCs w:val="22"/>
        </w:rPr>
        <w:tab/>
        <w:t xml:space="preserve">Zdeněk </w:t>
      </w:r>
      <w:proofErr w:type="spellStart"/>
      <w:r w:rsidRPr="00407C08">
        <w:rPr>
          <w:rFonts w:ascii="Book Antiqua" w:hAnsi="Book Antiqua" w:cs="Arial"/>
          <w:sz w:val="22"/>
          <w:szCs w:val="22"/>
        </w:rPr>
        <w:t>Duhajský</w:t>
      </w:r>
      <w:proofErr w:type="spellEnd"/>
      <w:r w:rsidR="007A6527" w:rsidRPr="00407C08">
        <w:rPr>
          <w:rFonts w:ascii="Book Antiqua" w:hAnsi="Book Antiqua" w:cs="Arial"/>
          <w:sz w:val="22"/>
          <w:szCs w:val="22"/>
        </w:rPr>
        <w:t xml:space="preserve"> v.r.</w:t>
      </w:r>
      <w:r w:rsidRPr="00407C08">
        <w:rPr>
          <w:rFonts w:ascii="Book Antiqua" w:hAnsi="Book Antiqua" w:cs="Arial"/>
          <w:sz w:val="22"/>
          <w:szCs w:val="22"/>
        </w:rPr>
        <w:tab/>
      </w:r>
      <w:r w:rsidR="005545D7" w:rsidRPr="00407C08">
        <w:rPr>
          <w:rFonts w:ascii="Book Antiqua" w:hAnsi="Book Antiqua" w:cs="Arial"/>
          <w:sz w:val="22"/>
          <w:szCs w:val="22"/>
        </w:rPr>
        <w:tab/>
      </w:r>
      <w:r w:rsidR="005545D7" w:rsidRPr="00407C08">
        <w:rPr>
          <w:rFonts w:ascii="Book Antiqua" w:hAnsi="Book Antiqua" w:cs="Arial"/>
          <w:sz w:val="22"/>
          <w:szCs w:val="22"/>
        </w:rPr>
        <w:tab/>
      </w:r>
      <w:r w:rsidR="005545D7" w:rsidRPr="00407C08">
        <w:rPr>
          <w:rFonts w:ascii="Book Antiqua" w:hAnsi="Book Antiqua" w:cs="Arial"/>
          <w:sz w:val="22"/>
          <w:szCs w:val="22"/>
        </w:rPr>
        <w:tab/>
      </w:r>
    </w:p>
    <w:p w14:paraId="6D903754" w14:textId="1363970B" w:rsidR="009A7F1A" w:rsidRPr="00407C08" w:rsidRDefault="00407C08" w:rsidP="00C0534C">
      <w:p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    </w:t>
      </w:r>
      <w:r w:rsidR="00567848" w:rsidRPr="00407C08">
        <w:rPr>
          <w:rFonts w:ascii="Book Antiqua" w:hAnsi="Book Antiqua" w:cs="Arial"/>
          <w:sz w:val="22"/>
          <w:szCs w:val="22"/>
        </w:rPr>
        <w:t>místostarosta</w:t>
      </w:r>
      <w:r w:rsidR="00567848" w:rsidRPr="00407C08">
        <w:rPr>
          <w:rFonts w:ascii="Book Antiqua" w:hAnsi="Book Antiqua" w:cs="Arial"/>
          <w:sz w:val="22"/>
          <w:szCs w:val="22"/>
        </w:rPr>
        <w:tab/>
      </w:r>
      <w:r w:rsidR="00567848" w:rsidRPr="00407C08">
        <w:rPr>
          <w:rFonts w:ascii="Book Antiqua" w:hAnsi="Book Antiqua" w:cs="Arial"/>
          <w:sz w:val="22"/>
          <w:szCs w:val="22"/>
        </w:rPr>
        <w:tab/>
      </w:r>
      <w:r w:rsidR="00567848" w:rsidRPr="00407C08">
        <w:rPr>
          <w:rFonts w:ascii="Book Antiqua" w:hAnsi="Book Antiqua" w:cs="Arial"/>
          <w:sz w:val="22"/>
          <w:szCs w:val="22"/>
        </w:rPr>
        <w:tab/>
      </w:r>
      <w:r w:rsidR="00567848" w:rsidRPr="00407C08">
        <w:rPr>
          <w:rFonts w:ascii="Book Antiqua" w:hAnsi="Book Antiqua" w:cs="Arial"/>
          <w:sz w:val="22"/>
          <w:szCs w:val="22"/>
        </w:rPr>
        <w:tab/>
      </w:r>
      <w:r w:rsidR="00567848" w:rsidRPr="00407C08">
        <w:rPr>
          <w:rFonts w:ascii="Book Antiqua" w:hAnsi="Book Antiqua" w:cs="Arial"/>
          <w:sz w:val="22"/>
          <w:szCs w:val="22"/>
        </w:rPr>
        <w:tab/>
      </w:r>
      <w:r w:rsidR="00567848" w:rsidRPr="00407C08">
        <w:rPr>
          <w:rFonts w:ascii="Book Antiqua" w:hAnsi="Book Antiqua" w:cs="Arial"/>
          <w:sz w:val="22"/>
          <w:szCs w:val="22"/>
        </w:rPr>
        <w:tab/>
      </w:r>
      <w:r w:rsidR="00567848" w:rsidRPr="00407C08">
        <w:rPr>
          <w:rFonts w:ascii="Book Antiqua" w:hAnsi="Book Antiqua" w:cs="Arial"/>
          <w:sz w:val="22"/>
          <w:szCs w:val="22"/>
        </w:rPr>
        <w:tab/>
        <w:t>starosta</w:t>
      </w:r>
    </w:p>
    <w:p w14:paraId="15D290D8" w14:textId="77777777" w:rsidR="00EA692A" w:rsidRPr="00407C08" w:rsidRDefault="00EA692A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4A0B762D" w14:textId="77777777" w:rsidR="00EA692A" w:rsidRPr="00407C08" w:rsidRDefault="00EA692A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7D092BA8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25860EB9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5BB14B82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1D82D95F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22807766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58995275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6A49FEBB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228AB9C8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6397191C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6306693F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140D2145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6FA1EEE5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436BFF33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66691AAD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212A602C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423FB5D7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425AA3FC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1E3CC36F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6A731439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17E031E0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2C6CDCAD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1DB3D98B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72613C47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5190D085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78C65E80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256DB397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26FF6BE4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79E179DC" w14:textId="77777777" w:rsidR="00407C08" w:rsidRDefault="00407C08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50A7794A" w14:textId="2FDAD9C7" w:rsidR="009A7F1A" w:rsidRPr="00407C08" w:rsidRDefault="003F4D5B" w:rsidP="005545D7">
      <w:pPr>
        <w:spacing w:after="120"/>
        <w:rPr>
          <w:rFonts w:ascii="Book Antiqua" w:hAnsi="Book Antiqua" w:cs="Arial"/>
          <w:sz w:val="22"/>
          <w:szCs w:val="22"/>
        </w:rPr>
      </w:pPr>
      <w:r w:rsidRPr="00407C08">
        <w:rPr>
          <w:rFonts w:ascii="Book Antiqua" w:hAnsi="Book Antiqua" w:cs="Arial"/>
          <w:sz w:val="22"/>
          <w:szCs w:val="22"/>
        </w:rPr>
        <w:t>Příloha č. 1 obecné závazné vyhlášky obce Pavlov o nočním klidu</w:t>
      </w:r>
    </w:p>
    <w:p w14:paraId="631ED282" w14:textId="77777777" w:rsidR="003F4D5B" w:rsidRPr="00407C08" w:rsidRDefault="003F4D5B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07527934" w14:textId="21BEF2CB" w:rsidR="003F4D5B" w:rsidRPr="00407C08" w:rsidRDefault="003F4D5B" w:rsidP="005545D7">
      <w:pPr>
        <w:spacing w:after="120"/>
        <w:rPr>
          <w:rFonts w:ascii="Book Antiqua" w:hAnsi="Book Antiqua" w:cs="Arial"/>
          <w:sz w:val="22"/>
          <w:szCs w:val="22"/>
        </w:rPr>
      </w:pPr>
      <w:r w:rsidRPr="00407C08">
        <w:rPr>
          <w:rFonts w:ascii="Book Antiqua" w:hAnsi="Book Antiqua" w:cs="Arial"/>
          <w:sz w:val="22"/>
          <w:szCs w:val="22"/>
        </w:rPr>
        <w:t>Stanovení výjimečných případů, kdy se doba nočního klidu vymezuje na dobu kratší:</w:t>
      </w:r>
    </w:p>
    <w:p w14:paraId="67CCCBE9" w14:textId="77777777" w:rsidR="003F4D5B" w:rsidRPr="00407C08" w:rsidRDefault="003F4D5B" w:rsidP="005545D7">
      <w:pPr>
        <w:spacing w:after="120"/>
        <w:rPr>
          <w:rFonts w:ascii="Book Antiqua" w:hAnsi="Book Antiqu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F4D5B" w:rsidRPr="00407C08" w14:paraId="5E457B4E" w14:textId="77777777" w:rsidTr="003F4D5B">
        <w:tc>
          <w:tcPr>
            <w:tcW w:w="3020" w:type="dxa"/>
          </w:tcPr>
          <w:p w14:paraId="1614E466" w14:textId="2FCC8F3E" w:rsidR="003F4D5B" w:rsidRPr="00407C08" w:rsidRDefault="003F4D5B" w:rsidP="003F4D5B">
            <w:pPr>
              <w:spacing w:after="12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AKCE</w:t>
            </w:r>
          </w:p>
          <w:p w14:paraId="791E7235" w14:textId="77777777" w:rsidR="003F4D5B" w:rsidRPr="00407C08" w:rsidRDefault="003F4D5B" w:rsidP="003F4D5B">
            <w:pPr>
              <w:spacing w:after="12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1263E98F" w14:textId="77777777" w:rsidR="003F4D5B" w:rsidRPr="00407C08" w:rsidRDefault="003F4D5B" w:rsidP="003F4D5B">
            <w:pPr>
              <w:spacing w:after="12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E03D2DE" w14:textId="7C002548" w:rsidR="003F4D5B" w:rsidRPr="00407C08" w:rsidRDefault="003F4D5B" w:rsidP="003F4D5B">
            <w:pPr>
              <w:spacing w:after="12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DOBA KONÁNÍ TRADIČNÍCH AKCÍ</w:t>
            </w:r>
          </w:p>
        </w:tc>
        <w:tc>
          <w:tcPr>
            <w:tcW w:w="3021" w:type="dxa"/>
          </w:tcPr>
          <w:p w14:paraId="13BD3FCE" w14:textId="7FF5BC36" w:rsidR="003F4D5B" w:rsidRPr="00407C08" w:rsidRDefault="003F4D5B" w:rsidP="003F4D5B">
            <w:pPr>
              <w:spacing w:after="12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VYMEZENÍ DOBY NOČNÍHO KLIDU</w:t>
            </w:r>
          </w:p>
        </w:tc>
      </w:tr>
      <w:tr w:rsidR="003F4D5B" w:rsidRPr="00407C08" w14:paraId="6D7F9287" w14:textId="77777777" w:rsidTr="003F4D5B">
        <w:tc>
          <w:tcPr>
            <w:tcW w:w="3020" w:type="dxa"/>
          </w:tcPr>
          <w:p w14:paraId="2A984564" w14:textId="7E87588C" w:rsidR="003F4D5B" w:rsidRPr="00407C08" w:rsidRDefault="003F4D5B" w:rsidP="005545D7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proofErr w:type="spellStart"/>
            <w:r w:rsidRPr="00407C08">
              <w:rPr>
                <w:rFonts w:ascii="Book Antiqua" w:hAnsi="Book Antiqua" w:cs="Arial"/>
                <w:sz w:val="22"/>
                <w:szCs w:val="22"/>
              </w:rPr>
              <w:t>Předhodová</w:t>
            </w:r>
            <w:proofErr w:type="spellEnd"/>
            <w:r w:rsidRPr="00407C08">
              <w:rPr>
                <w:rFonts w:ascii="Book Antiqua" w:hAnsi="Book Antiqua" w:cs="Arial"/>
                <w:sz w:val="22"/>
                <w:szCs w:val="22"/>
              </w:rPr>
              <w:t xml:space="preserve"> diskotéka</w:t>
            </w:r>
          </w:p>
        </w:tc>
        <w:tc>
          <w:tcPr>
            <w:tcW w:w="3021" w:type="dxa"/>
          </w:tcPr>
          <w:p w14:paraId="2EAACFF1" w14:textId="79632151" w:rsidR="003F4D5B" w:rsidRPr="00407C08" w:rsidRDefault="003F4D5B" w:rsidP="005545D7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Jedna noc z pátku na sobotu v měsíci srpnu ze dne konání akce na další den</w:t>
            </w:r>
          </w:p>
        </w:tc>
        <w:tc>
          <w:tcPr>
            <w:tcW w:w="3021" w:type="dxa"/>
          </w:tcPr>
          <w:p w14:paraId="69F81662" w14:textId="5EB995A5" w:rsidR="003F4D5B" w:rsidRPr="00407C08" w:rsidRDefault="003F4D5B" w:rsidP="005545D7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02:00 – 06:00 hodin</w:t>
            </w:r>
          </w:p>
        </w:tc>
      </w:tr>
      <w:tr w:rsidR="003F4D5B" w:rsidRPr="00407C08" w14:paraId="4519AF7F" w14:textId="77777777" w:rsidTr="003F4D5B">
        <w:tc>
          <w:tcPr>
            <w:tcW w:w="3020" w:type="dxa"/>
          </w:tcPr>
          <w:p w14:paraId="52253895" w14:textId="0CE2649A" w:rsidR="003F4D5B" w:rsidRPr="00407C08" w:rsidRDefault="00587E73" w:rsidP="005545D7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Tradiční krojované hody</w:t>
            </w:r>
          </w:p>
        </w:tc>
        <w:tc>
          <w:tcPr>
            <w:tcW w:w="3021" w:type="dxa"/>
          </w:tcPr>
          <w:p w14:paraId="78F88990" w14:textId="1E8EDD71" w:rsidR="003F4D5B" w:rsidRPr="00407C08" w:rsidRDefault="003F4D5B" w:rsidP="00587E73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 xml:space="preserve">Jedna noc ze soboty na neděli v měsíci </w:t>
            </w:r>
            <w:r w:rsidR="00587E73" w:rsidRPr="00407C08">
              <w:rPr>
                <w:rFonts w:ascii="Book Antiqua" w:hAnsi="Book Antiqua" w:cs="Arial"/>
                <w:sz w:val="22"/>
                <w:szCs w:val="22"/>
              </w:rPr>
              <w:t>srpnu ze dne konání akce na další den</w:t>
            </w:r>
          </w:p>
        </w:tc>
        <w:tc>
          <w:tcPr>
            <w:tcW w:w="3021" w:type="dxa"/>
          </w:tcPr>
          <w:p w14:paraId="71C2468E" w14:textId="2814C1A5" w:rsidR="003F4D5B" w:rsidRPr="00407C08" w:rsidRDefault="003F4D5B" w:rsidP="005545D7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03:00 – 06:00 hodin</w:t>
            </w:r>
          </w:p>
        </w:tc>
      </w:tr>
      <w:tr w:rsidR="003F4D5B" w:rsidRPr="00407C08" w14:paraId="473BA3E5" w14:textId="77777777" w:rsidTr="003F4D5B">
        <w:tc>
          <w:tcPr>
            <w:tcW w:w="3020" w:type="dxa"/>
          </w:tcPr>
          <w:p w14:paraId="056E62FF" w14:textId="5BB13602" w:rsidR="003F4D5B" w:rsidRPr="00407C08" w:rsidRDefault="003F4D5B" w:rsidP="005545D7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Červencová zábava</w:t>
            </w:r>
          </w:p>
        </w:tc>
        <w:tc>
          <w:tcPr>
            <w:tcW w:w="3021" w:type="dxa"/>
          </w:tcPr>
          <w:p w14:paraId="76D88B87" w14:textId="6C0A0049" w:rsidR="003F4D5B" w:rsidRPr="00407C08" w:rsidRDefault="003F4D5B" w:rsidP="005545D7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Jedna noc ze soboty na neděli v měsíci červenci ze dne konání akce na další den</w:t>
            </w:r>
          </w:p>
        </w:tc>
        <w:tc>
          <w:tcPr>
            <w:tcW w:w="3021" w:type="dxa"/>
          </w:tcPr>
          <w:p w14:paraId="6C6DB167" w14:textId="5771208B" w:rsidR="003F4D5B" w:rsidRPr="00407C08" w:rsidRDefault="003F4D5B" w:rsidP="005545D7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03:00 – 06:00 hodin</w:t>
            </w:r>
          </w:p>
        </w:tc>
      </w:tr>
      <w:tr w:rsidR="003F4D5B" w:rsidRPr="00407C08" w14:paraId="1453F5F2" w14:textId="77777777" w:rsidTr="003F4D5B">
        <w:tc>
          <w:tcPr>
            <w:tcW w:w="3020" w:type="dxa"/>
          </w:tcPr>
          <w:p w14:paraId="560B5C2F" w14:textId="3311D031" w:rsidR="003F4D5B" w:rsidRPr="00407C08" w:rsidRDefault="003F4D5B" w:rsidP="005545D7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Fašank</w:t>
            </w:r>
          </w:p>
        </w:tc>
        <w:tc>
          <w:tcPr>
            <w:tcW w:w="3021" w:type="dxa"/>
          </w:tcPr>
          <w:p w14:paraId="0CDC68AB" w14:textId="21A48FB5" w:rsidR="003F4D5B" w:rsidRPr="00407C08" w:rsidRDefault="003F4D5B" w:rsidP="003A6A26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 xml:space="preserve">Jedna noc ze soboty na neděli </w:t>
            </w:r>
            <w:r w:rsidR="003A6A26" w:rsidRPr="00407C08">
              <w:rPr>
                <w:rFonts w:ascii="Book Antiqua" w:hAnsi="Book Antiqua" w:cs="Arial"/>
                <w:sz w:val="22"/>
                <w:szCs w:val="22"/>
              </w:rPr>
              <w:t>před Popeleční středou z</w:t>
            </w:r>
            <w:r w:rsidRPr="00407C08">
              <w:rPr>
                <w:rFonts w:ascii="Book Antiqua" w:hAnsi="Book Antiqua" w:cs="Arial"/>
                <w:sz w:val="22"/>
                <w:szCs w:val="22"/>
              </w:rPr>
              <w:t>e dne konání akce na další den</w:t>
            </w:r>
          </w:p>
        </w:tc>
        <w:tc>
          <w:tcPr>
            <w:tcW w:w="3021" w:type="dxa"/>
          </w:tcPr>
          <w:p w14:paraId="7EA829AE" w14:textId="0EA880B9" w:rsidR="003F4D5B" w:rsidRPr="00407C08" w:rsidRDefault="003F4D5B" w:rsidP="005545D7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01:00 – 06:00 hodin</w:t>
            </w:r>
          </w:p>
        </w:tc>
      </w:tr>
      <w:tr w:rsidR="003F4D5B" w:rsidRPr="00407C08" w14:paraId="5FF76048" w14:textId="77777777" w:rsidTr="003F4D5B">
        <w:tc>
          <w:tcPr>
            <w:tcW w:w="3020" w:type="dxa"/>
          </w:tcPr>
          <w:p w14:paraId="740EF098" w14:textId="6F9C1949" w:rsidR="003F4D5B" w:rsidRPr="00407C08" w:rsidRDefault="003F4D5B" w:rsidP="005545D7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Otevřené sklepy</w:t>
            </w:r>
          </w:p>
        </w:tc>
        <w:tc>
          <w:tcPr>
            <w:tcW w:w="3021" w:type="dxa"/>
          </w:tcPr>
          <w:p w14:paraId="7C30F372" w14:textId="58E0EB87" w:rsidR="003F4D5B" w:rsidRPr="00407C08" w:rsidRDefault="003F4D5B" w:rsidP="00587E73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Poslední sobota v měsíci dubnu ze dne konání akce na další den</w:t>
            </w:r>
          </w:p>
        </w:tc>
        <w:tc>
          <w:tcPr>
            <w:tcW w:w="3021" w:type="dxa"/>
          </w:tcPr>
          <w:p w14:paraId="7CF862E8" w14:textId="3F3CDA43" w:rsidR="003F4D5B" w:rsidRPr="00407C08" w:rsidRDefault="003F4D5B" w:rsidP="005545D7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00:00 – 06:00 hodin</w:t>
            </w:r>
          </w:p>
        </w:tc>
      </w:tr>
      <w:tr w:rsidR="00587E73" w:rsidRPr="00407C08" w14:paraId="0FA1C179" w14:textId="77777777" w:rsidTr="00EA2CF1">
        <w:tc>
          <w:tcPr>
            <w:tcW w:w="3020" w:type="dxa"/>
          </w:tcPr>
          <w:p w14:paraId="5EE4B6F9" w14:textId="77777777" w:rsidR="00587E73" w:rsidRPr="00407C08" w:rsidRDefault="00587E73" w:rsidP="00EA2CF1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Myslivecký ples</w:t>
            </w:r>
          </w:p>
        </w:tc>
        <w:tc>
          <w:tcPr>
            <w:tcW w:w="3021" w:type="dxa"/>
          </w:tcPr>
          <w:p w14:paraId="074C4E85" w14:textId="77777777" w:rsidR="00587E73" w:rsidRPr="00407C08" w:rsidRDefault="00587E73" w:rsidP="00EA2CF1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Jedna noc ze soboty na neděli v měsíci lednu ze dne konání akce na další den</w:t>
            </w:r>
          </w:p>
        </w:tc>
        <w:tc>
          <w:tcPr>
            <w:tcW w:w="3021" w:type="dxa"/>
          </w:tcPr>
          <w:p w14:paraId="156CF28D" w14:textId="77777777" w:rsidR="00587E73" w:rsidRPr="00407C08" w:rsidRDefault="00587E73" w:rsidP="00EA2CF1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03:00 – 06:00 hodin</w:t>
            </w:r>
          </w:p>
        </w:tc>
      </w:tr>
      <w:tr w:rsidR="00587E73" w:rsidRPr="00407C08" w14:paraId="2804BD5A" w14:textId="77777777" w:rsidTr="00EA2CF1">
        <w:tc>
          <w:tcPr>
            <w:tcW w:w="3020" w:type="dxa"/>
          </w:tcPr>
          <w:p w14:paraId="1E2DC0E3" w14:textId="77777777" w:rsidR="00587E73" w:rsidRPr="00407C08" w:rsidRDefault="00587E73" w:rsidP="00EA2CF1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Otevřené sklepy</w:t>
            </w:r>
          </w:p>
        </w:tc>
        <w:tc>
          <w:tcPr>
            <w:tcW w:w="3021" w:type="dxa"/>
          </w:tcPr>
          <w:p w14:paraId="5C4D7DEF" w14:textId="0BEBE3A3" w:rsidR="00587E73" w:rsidRPr="00407C08" w:rsidRDefault="00587E73" w:rsidP="00587E73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Poslední sobota v </w:t>
            </w:r>
            <w:proofErr w:type="gramStart"/>
            <w:r w:rsidRPr="00407C08">
              <w:rPr>
                <w:rFonts w:ascii="Book Antiqua" w:hAnsi="Book Antiqua" w:cs="Arial"/>
                <w:sz w:val="22"/>
                <w:szCs w:val="22"/>
              </w:rPr>
              <w:t>měsíci  listopadu</w:t>
            </w:r>
            <w:proofErr w:type="gramEnd"/>
            <w:r w:rsidRPr="00407C08">
              <w:rPr>
                <w:rFonts w:ascii="Book Antiqua" w:hAnsi="Book Antiqua" w:cs="Arial"/>
                <w:sz w:val="22"/>
                <w:szCs w:val="22"/>
              </w:rPr>
              <w:t xml:space="preserve"> ze dne konání akce na další den</w:t>
            </w:r>
          </w:p>
        </w:tc>
        <w:tc>
          <w:tcPr>
            <w:tcW w:w="3021" w:type="dxa"/>
          </w:tcPr>
          <w:p w14:paraId="23E51FE1" w14:textId="77777777" w:rsidR="00587E73" w:rsidRPr="00407C08" w:rsidRDefault="00587E73" w:rsidP="00EA2CF1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407C08">
              <w:rPr>
                <w:rFonts w:ascii="Book Antiqua" w:hAnsi="Book Antiqua" w:cs="Arial"/>
                <w:sz w:val="22"/>
                <w:szCs w:val="22"/>
              </w:rPr>
              <w:t>00:00 – 06:00 hodin</w:t>
            </w:r>
          </w:p>
        </w:tc>
      </w:tr>
    </w:tbl>
    <w:p w14:paraId="3A21F360" w14:textId="77777777" w:rsidR="003F4D5B" w:rsidRPr="00407C08" w:rsidRDefault="003F4D5B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15C3FC73" w14:textId="77777777" w:rsidR="0089067D" w:rsidRPr="00407C08" w:rsidRDefault="0089067D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35AD3823" w14:textId="77777777" w:rsidR="0089067D" w:rsidRPr="00407C08" w:rsidRDefault="0089067D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49AEE5BB" w14:textId="77777777" w:rsidR="0089067D" w:rsidRPr="00407C08" w:rsidRDefault="0089067D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55B00EF9" w14:textId="77777777" w:rsidR="0089067D" w:rsidRPr="00407C08" w:rsidRDefault="0089067D" w:rsidP="005545D7">
      <w:pPr>
        <w:spacing w:after="120"/>
        <w:rPr>
          <w:rFonts w:ascii="Book Antiqua" w:hAnsi="Book Antiqua" w:cs="Arial"/>
          <w:sz w:val="22"/>
          <w:szCs w:val="22"/>
        </w:rPr>
      </w:pPr>
    </w:p>
    <w:p w14:paraId="5E3B50B4" w14:textId="77777777" w:rsidR="0089067D" w:rsidRPr="00407C08" w:rsidRDefault="0089067D" w:rsidP="005545D7">
      <w:pPr>
        <w:spacing w:after="120"/>
        <w:rPr>
          <w:rFonts w:ascii="Book Antiqua" w:hAnsi="Book Antiqua" w:cs="Arial"/>
          <w:sz w:val="22"/>
          <w:szCs w:val="22"/>
        </w:rPr>
      </w:pPr>
    </w:p>
    <w:sectPr w:rsidR="0089067D" w:rsidRPr="00407C08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7936" w14:textId="77777777" w:rsidR="00BB4311" w:rsidRDefault="00BB4311">
      <w:r>
        <w:separator/>
      </w:r>
    </w:p>
  </w:endnote>
  <w:endnote w:type="continuationSeparator" w:id="0">
    <w:p w14:paraId="4573F38E" w14:textId="77777777" w:rsidR="00BB4311" w:rsidRDefault="00BB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6B6F5" w14:textId="77777777" w:rsidR="00BB4311" w:rsidRDefault="00BB4311">
      <w:r>
        <w:separator/>
      </w:r>
    </w:p>
  </w:footnote>
  <w:footnote w:type="continuationSeparator" w:id="0">
    <w:p w14:paraId="1A190298" w14:textId="77777777" w:rsidR="00BB4311" w:rsidRDefault="00BB4311">
      <w:r>
        <w:continuationSeparator/>
      </w:r>
    </w:p>
  </w:footnote>
  <w:footnote w:id="1">
    <w:p w14:paraId="15582C5F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D2864">
        <w:rPr>
          <w:rFonts w:ascii="Arial" w:hAnsi="Arial" w:cs="Arial"/>
        </w:rPr>
        <w:t>ve znění pozdějších předpisů</w:t>
      </w:r>
    </w:p>
    <w:p w14:paraId="72AAFC3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32E"/>
    <w:multiLevelType w:val="hybridMultilevel"/>
    <w:tmpl w:val="D480F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538E3"/>
    <w:multiLevelType w:val="hybridMultilevel"/>
    <w:tmpl w:val="9688898E"/>
    <w:lvl w:ilvl="0" w:tplc="3D3451B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600B31"/>
    <w:multiLevelType w:val="hybridMultilevel"/>
    <w:tmpl w:val="6896B068"/>
    <w:lvl w:ilvl="0" w:tplc="85EE95C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66FF4"/>
    <w:multiLevelType w:val="hybridMultilevel"/>
    <w:tmpl w:val="EBB2D0D0"/>
    <w:lvl w:ilvl="0" w:tplc="DA36F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346985"/>
    <w:multiLevelType w:val="hybridMultilevel"/>
    <w:tmpl w:val="D7F6971C"/>
    <w:lvl w:ilvl="0" w:tplc="F4CA80D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0E1DF8"/>
    <w:multiLevelType w:val="hybridMultilevel"/>
    <w:tmpl w:val="D2964240"/>
    <w:lvl w:ilvl="0" w:tplc="8BF8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C8275D"/>
    <w:multiLevelType w:val="hybridMultilevel"/>
    <w:tmpl w:val="A1666D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5277975">
    <w:abstractNumId w:val="7"/>
  </w:num>
  <w:num w:numId="2" w16cid:durableId="1666781390">
    <w:abstractNumId w:val="17"/>
  </w:num>
  <w:num w:numId="3" w16cid:durableId="218637760">
    <w:abstractNumId w:val="5"/>
  </w:num>
  <w:num w:numId="4" w16cid:durableId="417286115">
    <w:abstractNumId w:val="12"/>
  </w:num>
  <w:num w:numId="5" w16cid:durableId="1501626849">
    <w:abstractNumId w:val="11"/>
  </w:num>
  <w:num w:numId="6" w16cid:durableId="890731827">
    <w:abstractNumId w:val="15"/>
  </w:num>
  <w:num w:numId="7" w16cid:durableId="1946838743">
    <w:abstractNumId w:val="8"/>
  </w:num>
  <w:num w:numId="8" w16cid:durableId="677118201">
    <w:abstractNumId w:val="1"/>
  </w:num>
  <w:num w:numId="9" w16cid:durableId="1986280760">
    <w:abstractNumId w:val="14"/>
  </w:num>
  <w:num w:numId="10" w16cid:durableId="1705520687">
    <w:abstractNumId w:val="2"/>
  </w:num>
  <w:num w:numId="11" w16cid:durableId="1754666346">
    <w:abstractNumId w:val="3"/>
  </w:num>
  <w:num w:numId="12" w16cid:durableId="1305814913">
    <w:abstractNumId w:val="0"/>
  </w:num>
  <w:num w:numId="13" w16cid:durableId="1619750501">
    <w:abstractNumId w:val="9"/>
  </w:num>
  <w:num w:numId="14" w16cid:durableId="1292175550">
    <w:abstractNumId w:val="6"/>
  </w:num>
  <w:num w:numId="15" w16cid:durableId="304166593">
    <w:abstractNumId w:val="4"/>
  </w:num>
  <w:num w:numId="16" w16cid:durableId="1098326394">
    <w:abstractNumId w:val="10"/>
  </w:num>
  <w:num w:numId="17" w16cid:durableId="152990735">
    <w:abstractNumId w:val="13"/>
  </w:num>
  <w:num w:numId="18" w16cid:durableId="7769493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2137"/>
    <w:rsid w:val="00034FFA"/>
    <w:rsid w:val="00047D7A"/>
    <w:rsid w:val="000561EB"/>
    <w:rsid w:val="00056640"/>
    <w:rsid w:val="000745FA"/>
    <w:rsid w:val="00081132"/>
    <w:rsid w:val="00095985"/>
    <w:rsid w:val="000A0CE6"/>
    <w:rsid w:val="000C0C56"/>
    <w:rsid w:val="000D3097"/>
    <w:rsid w:val="000E388D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2864"/>
    <w:rsid w:val="001D4728"/>
    <w:rsid w:val="001D5D37"/>
    <w:rsid w:val="00212C35"/>
    <w:rsid w:val="00213118"/>
    <w:rsid w:val="00224922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F0DAD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A6A26"/>
    <w:rsid w:val="003B12D9"/>
    <w:rsid w:val="003D13EC"/>
    <w:rsid w:val="003F4D5B"/>
    <w:rsid w:val="0040725E"/>
    <w:rsid w:val="00407C08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155"/>
    <w:rsid w:val="004C44F6"/>
    <w:rsid w:val="004D6BC6"/>
    <w:rsid w:val="004F1DE1"/>
    <w:rsid w:val="005108A8"/>
    <w:rsid w:val="00513323"/>
    <w:rsid w:val="005229CD"/>
    <w:rsid w:val="00523385"/>
    <w:rsid w:val="00533F5B"/>
    <w:rsid w:val="005350D4"/>
    <w:rsid w:val="005545D7"/>
    <w:rsid w:val="00557C94"/>
    <w:rsid w:val="00567848"/>
    <w:rsid w:val="00575630"/>
    <w:rsid w:val="00581E7B"/>
    <w:rsid w:val="00587E73"/>
    <w:rsid w:val="00596EBC"/>
    <w:rsid w:val="005A4320"/>
    <w:rsid w:val="005C21CF"/>
    <w:rsid w:val="005D4217"/>
    <w:rsid w:val="005D4F35"/>
    <w:rsid w:val="005E614E"/>
    <w:rsid w:val="005F7027"/>
    <w:rsid w:val="006026C5"/>
    <w:rsid w:val="00617A91"/>
    <w:rsid w:val="00617BDE"/>
    <w:rsid w:val="00641107"/>
    <w:rsid w:val="0064245C"/>
    <w:rsid w:val="00642611"/>
    <w:rsid w:val="00653E3F"/>
    <w:rsid w:val="00662877"/>
    <w:rsid w:val="00662FE4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A6527"/>
    <w:rsid w:val="007B5155"/>
    <w:rsid w:val="007B6205"/>
    <w:rsid w:val="007B63AA"/>
    <w:rsid w:val="007D1825"/>
    <w:rsid w:val="007D7BB7"/>
    <w:rsid w:val="007E1DB2"/>
    <w:rsid w:val="007E3C2E"/>
    <w:rsid w:val="007F5346"/>
    <w:rsid w:val="00826B0B"/>
    <w:rsid w:val="0084248C"/>
    <w:rsid w:val="00843DC9"/>
    <w:rsid w:val="00857150"/>
    <w:rsid w:val="008573F5"/>
    <w:rsid w:val="00862799"/>
    <w:rsid w:val="008761D8"/>
    <w:rsid w:val="00876251"/>
    <w:rsid w:val="00877B46"/>
    <w:rsid w:val="00887BCF"/>
    <w:rsid w:val="0089067D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7F1A"/>
    <w:rsid w:val="009B12D6"/>
    <w:rsid w:val="009B33F1"/>
    <w:rsid w:val="009D2A48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7273C"/>
    <w:rsid w:val="00A97662"/>
    <w:rsid w:val="00AC0896"/>
    <w:rsid w:val="00AC1E54"/>
    <w:rsid w:val="00AF71F5"/>
    <w:rsid w:val="00B04E79"/>
    <w:rsid w:val="00B065FC"/>
    <w:rsid w:val="00B26438"/>
    <w:rsid w:val="00BA0AE8"/>
    <w:rsid w:val="00BB2199"/>
    <w:rsid w:val="00BB4311"/>
    <w:rsid w:val="00BB6020"/>
    <w:rsid w:val="00C0534C"/>
    <w:rsid w:val="00C35952"/>
    <w:rsid w:val="00C51729"/>
    <w:rsid w:val="00C57C27"/>
    <w:rsid w:val="00C6410F"/>
    <w:rsid w:val="00C82D9F"/>
    <w:rsid w:val="00CB088B"/>
    <w:rsid w:val="00CB56D6"/>
    <w:rsid w:val="00D06446"/>
    <w:rsid w:val="00D32A49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7F91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A692A"/>
    <w:rsid w:val="00EC4D93"/>
    <w:rsid w:val="00EE2A3B"/>
    <w:rsid w:val="00EE6B51"/>
    <w:rsid w:val="00EF17C3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B5B6A"/>
  <w15:docId w15:val="{DD4E405D-B555-4F71-ADBE-9ECA77BB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3F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ABDC3-83CD-41B9-ADBC-06D25391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jaja.pragerova@outlook.cz</cp:lastModifiedBy>
  <cp:revision>5</cp:revision>
  <cp:lastPrinted>2023-08-07T14:29:00Z</cp:lastPrinted>
  <dcterms:created xsi:type="dcterms:W3CDTF">2023-11-12T08:05:00Z</dcterms:created>
  <dcterms:modified xsi:type="dcterms:W3CDTF">2023-11-12T08:46:00Z</dcterms:modified>
</cp:coreProperties>
</file>