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AF04" w14:textId="77777777" w:rsidR="003C3A03" w:rsidRDefault="00000000">
      <w:pPr>
        <w:pStyle w:val="Nzev"/>
      </w:pPr>
      <w:r>
        <w:t>Obec Boňkov</w:t>
      </w:r>
      <w:r>
        <w:br/>
        <w:t>Zastupitelstvo obce Boňkov</w:t>
      </w:r>
    </w:p>
    <w:p w14:paraId="2D96EFAA" w14:textId="77777777" w:rsidR="003C3A03" w:rsidRDefault="00000000">
      <w:pPr>
        <w:pStyle w:val="Nadpis1"/>
        <w:numPr>
          <w:ilvl w:val="0"/>
          <w:numId w:val="1"/>
        </w:numPr>
      </w:pPr>
      <w:r>
        <w:t>Obecně závazná vyhláška obce Boňkov</w:t>
      </w:r>
      <w:r>
        <w:br/>
        <w:t>o místním poplatku ze psů</w:t>
      </w:r>
    </w:p>
    <w:p w14:paraId="127523FA" w14:textId="77777777" w:rsidR="003C3A03" w:rsidRDefault="00000000">
      <w:pPr>
        <w:pBdr>
          <w:top w:val="nil"/>
          <w:left w:val="nil"/>
          <w:bottom w:val="nil"/>
          <w:right w:val="nil"/>
          <w:between w:val="nil"/>
        </w:pBdr>
        <w:spacing w:before="62" w:after="120" w:line="276" w:lineRule="auto"/>
        <w:jc w:val="both"/>
        <w:rPr>
          <w:rFonts w:ascii="Arial" w:eastAsia="Arial" w:hAnsi="Arial" w:cs="Arial"/>
          <w:color w:val="000000"/>
          <w:sz w:val="22"/>
          <w:szCs w:val="22"/>
        </w:rPr>
      </w:pPr>
      <w:r>
        <w:rPr>
          <w:rFonts w:ascii="Arial" w:eastAsia="Arial" w:hAnsi="Arial" w:cs="Arial"/>
          <w:color w:val="000000"/>
          <w:sz w:val="22"/>
          <w:szCs w:val="22"/>
        </w:rPr>
        <w:t>Zastupitelstvo obce Boňkov se na svém zasedání dne 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2F1F1C8" w14:textId="77777777" w:rsidR="003C3A03" w:rsidRDefault="00000000">
      <w:pPr>
        <w:pStyle w:val="Nadpis2"/>
        <w:numPr>
          <w:ilvl w:val="1"/>
          <w:numId w:val="1"/>
        </w:numPr>
      </w:pPr>
      <w:r>
        <w:t>Čl. 1</w:t>
      </w:r>
      <w:r>
        <w:br/>
        <w:t>Úvodní ustanovení</w:t>
      </w:r>
    </w:p>
    <w:p w14:paraId="06D555D5" w14:textId="77777777" w:rsidR="003C3A03" w:rsidRDefault="00000000">
      <w:pPr>
        <w:numPr>
          <w:ilvl w:val="0"/>
          <w:numId w:val="2"/>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Obec Boňkov touto vyhláškou zavádí místní poplatek ze psů (dále jen „poplatek“).</w:t>
      </w:r>
    </w:p>
    <w:p w14:paraId="414A8D7E" w14:textId="77777777" w:rsidR="003C3A03" w:rsidRDefault="00000000">
      <w:pPr>
        <w:numPr>
          <w:ilvl w:val="0"/>
          <w:numId w:val="2"/>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Poplatkovým obdobím poplatku je kalendářní rok</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w:t>
      </w:r>
    </w:p>
    <w:p w14:paraId="6422EEB1" w14:textId="77777777" w:rsidR="003C3A03" w:rsidRDefault="00000000">
      <w:pPr>
        <w:numPr>
          <w:ilvl w:val="0"/>
          <w:numId w:val="2"/>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Správcem poplatku je obecní úřad</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w:t>
      </w:r>
    </w:p>
    <w:p w14:paraId="2B2BE6ED" w14:textId="77777777" w:rsidR="003C3A03" w:rsidRDefault="00000000">
      <w:pPr>
        <w:pStyle w:val="Nadpis2"/>
        <w:numPr>
          <w:ilvl w:val="1"/>
          <w:numId w:val="1"/>
        </w:numPr>
      </w:pPr>
      <w:r>
        <w:t>Čl. 2</w:t>
      </w:r>
      <w:r>
        <w:br/>
        <w:t>Předmět poplatku a poplatník</w:t>
      </w:r>
    </w:p>
    <w:p w14:paraId="4E46D7C8" w14:textId="77777777" w:rsidR="003C3A03" w:rsidRDefault="00000000" w:rsidP="00E1776E">
      <w:pPr>
        <w:numPr>
          <w:ilvl w:val="0"/>
          <w:numId w:val="3"/>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w:t>
      </w:r>
    </w:p>
    <w:p w14:paraId="0ED0EAA7" w14:textId="77777777" w:rsidR="003C3A03" w:rsidRDefault="00000000" w:rsidP="00E1776E">
      <w:pPr>
        <w:numPr>
          <w:ilvl w:val="0"/>
          <w:numId w:val="3"/>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Poplatek ze psů se platí ze psů starších 3 měsíců</w:t>
      </w:r>
      <w:r>
        <w:rPr>
          <w:rFonts w:ascii="Arial" w:eastAsia="Arial" w:hAnsi="Arial" w:cs="Arial"/>
          <w:color w:val="000000"/>
          <w:sz w:val="22"/>
          <w:szCs w:val="22"/>
          <w:vertAlign w:val="superscript"/>
        </w:rPr>
        <w:footnoteReference w:id="4"/>
      </w:r>
      <w:r>
        <w:rPr>
          <w:rFonts w:ascii="Arial" w:eastAsia="Arial" w:hAnsi="Arial" w:cs="Arial"/>
          <w:color w:val="000000"/>
          <w:sz w:val="22"/>
          <w:szCs w:val="22"/>
        </w:rPr>
        <w:t>.</w:t>
      </w:r>
    </w:p>
    <w:p w14:paraId="7FC6B7B8" w14:textId="77777777" w:rsidR="003C3A03" w:rsidRDefault="00000000">
      <w:pPr>
        <w:pStyle w:val="Nadpis2"/>
        <w:numPr>
          <w:ilvl w:val="1"/>
          <w:numId w:val="1"/>
        </w:numPr>
      </w:pPr>
      <w:r>
        <w:t>Čl. 3</w:t>
      </w:r>
      <w:r>
        <w:br/>
        <w:t>Ohlašovací povinnost</w:t>
      </w:r>
    </w:p>
    <w:p w14:paraId="058310BF" w14:textId="77777777" w:rsidR="003C3A03" w:rsidRDefault="00000000" w:rsidP="00E1776E">
      <w:pPr>
        <w:numPr>
          <w:ilvl w:val="0"/>
          <w:numId w:val="4"/>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Poplatník je povinen podat správci poplatku ohlášení nejpozději do 30 dnů ode dne, kdy se pes stal starším 3 měsíců, nebo ode dne, kdy nabyl psa staršího 3 měsíců; údaje uváděné v ohlášení upravuje zákon</w:t>
      </w:r>
      <w:r>
        <w:rPr>
          <w:rFonts w:ascii="Arial" w:eastAsia="Arial" w:hAnsi="Arial" w:cs="Arial"/>
          <w:color w:val="000000"/>
          <w:sz w:val="22"/>
          <w:szCs w:val="22"/>
          <w:vertAlign w:val="superscript"/>
        </w:rPr>
        <w:footnoteReference w:id="5"/>
      </w:r>
      <w:r>
        <w:rPr>
          <w:rFonts w:ascii="Arial" w:eastAsia="Arial" w:hAnsi="Arial" w:cs="Arial"/>
          <w:color w:val="000000"/>
          <w:sz w:val="22"/>
          <w:szCs w:val="22"/>
        </w:rPr>
        <w:t>.</w:t>
      </w:r>
    </w:p>
    <w:p w14:paraId="10262F74" w14:textId="77777777" w:rsidR="003C3A03" w:rsidRDefault="00000000" w:rsidP="00E1776E">
      <w:pPr>
        <w:numPr>
          <w:ilvl w:val="0"/>
          <w:numId w:val="4"/>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Dojde-li ke změně údajů uvedených v ohlášení, je poplatník povinen tuto změnu oznámit do 15 dnů ode dne, kdy nastala</w:t>
      </w:r>
      <w:r>
        <w:rPr>
          <w:rFonts w:ascii="Arial" w:eastAsia="Arial" w:hAnsi="Arial" w:cs="Arial"/>
          <w:color w:val="000000"/>
          <w:sz w:val="22"/>
          <w:szCs w:val="22"/>
          <w:vertAlign w:val="superscript"/>
        </w:rPr>
        <w:footnoteReference w:id="6"/>
      </w:r>
      <w:r>
        <w:rPr>
          <w:rFonts w:ascii="Arial" w:eastAsia="Arial" w:hAnsi="Arial" w:cs="Arial"/>
          <w:color w:val="000000"/>
          <w:sz w:val="22"/>
          <w:szCs w:val="22"/>
        </w:rPr>
        <w:t>.</w:t>
      </w:r>
    </w:p>
    <w:p w14:paraId="23F7343B" w14:textId="77777777" w:rsidR="003C3A03" w:rsidRDefault="00000000">
      <w:pPr>
        <w:pStyle w:val="Nadpis2"/>
        <w:numPr>
          <w:ilvl w:val="1"/>
          <w:numId w:val="1"/>
        </w:numPr>
      </w:pPr>
      <w:r>
        <w:t>Čl. 4</w:t>
      </w:r>
      <w:r>
        <w:br/>
        <w:t>Sazba poplatku</w:t>
      </w:r>
    </w:p>
    <w:p w14:paraId="5D9B9306" w14:textId="77777777" w:rsidR="003C3A03" w:rsidRDefault="00000000" w:rsidP="00E1776E">
      <w:pPr>
        <w:numPr>
          <w:ilvl w:val="0"/>
          <w:numId w:val="5"/>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Sazba poplatku za kalendářní rok činí:</w:t>
      </w:r>
    </w:p>
    <w:p w14:paraId="346433FB" w14:textId="77777777" w:rsidR="003C3A03" w:rsidRDefault="00000000" w:rsidP="00E1776E">
      <w:pPr>
        <w:numPr>
          <w:ilvl w:val="1"/>
          <w:numId w:val="5"/>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za jednoho psa 60 Kč,</w:t>
      </w:r>
    </w:p>
    <w:p w14:paraId="032B061E" w14:textId="77777777" w:rsidR="003C3A03" w:rsidRDefault="00000000" w:rsidP="00E1776E">
      <w:pPr>
        <w:numPr>
          <w:ilvl w:val="1"/>
          <w:numId w:val="5"/>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za druhého a každého dalšího psa téhož držitele 90 Kč,</w:t>
      </w:r>
    </w:p>
    <w:p w14:paraId="24966FE3" w14:textId="77777777" w:rsidR="003C3A03" w:rsidRDefault="00000000" w:rsidP="00E1776E">
      <w:pPr>
        <w:numPr>
          <w:ilvl w:val="1"/>
          <w:numId w:val="5"/>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za psa, jehož držitelem je osoba starší 65 let, 30 Kč,</w:t>
      </w:r>
    </w:p>
    <w:p w14:paraId="3A4F19C8" w14:textId="77777777" w:rsidR="003C3A03" w:rsidRDefault="00000000" w:rsidP="00E1776E">
      <w:pPr>
        <w:numPr>
          <w:ilvl w:val="1"/>
          <w:numId w:val="5"/>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za druhého a každého dalšího psa téhož držitele, kterým je osoba starší 65 let, 30 Kč.</w:t>
      </w:r>
    </w:p>
    <w:p w14:paraId="079CCE9F" w14:textId="77777777" w:rsidR="003C3A03" w:rsidRDefault="00000000" w:rsidP="00E1776E">
      <w:pPr>
        <w:numPr>
          <w:ilvl w:val="0"/>
          <w:numId w:val="5"/>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V případě trvání poplatkové povinnosti po dobu </w:t>
      </w:r>
      <w:proofErr w:type="gramStart"/>
      <w:r>
        <w:rPr>
          <w:rFonts w:ascii="Arial" w:eastAsia="Arial" w:hAnsi="Arial" w:cs="Arial"/>
          <w:color w:val="000000"/>
          <w:sz w:val="22"/>
          <w:szCs w:val="22"/>
        </w:rPr>
        <w:t>kratší</w:t>
      </w:r>
      <w:proofErr w:type="gramEnd"/>
      <w:r>
        <w:rPr>
          <w:rFonts w:ascii="Arial" w:eastAsia="Arial" w:hAnsi="Arial" w:cs="Arial"/>
          <w:color w:val="000000"/>
          <w:sz w:val="22"/>
          <w:szCs w:val="22"/>
        </w:rPr>
        <w:t xml:space="preserve"> než jeden rok se platí poplatek v poměrné výši, která odpovídá počtu i započatých kalendářních měsíců</w:t>
      </w:r>
      <w:r>
        <w:rPr>
          <w:rFonts w:ascii="Arial" w:eastAsia="Arial" w:hAnsi="Arial" w:cs="Arial"/>
          <w:color w:val="000000"/>
          <w:sz w:val="22"/>
          <w:szCs w:val="22"/>
          <w:vertAlign w:val="superscript"/>
        </w:rPr>
        <w:footnoteReference w:id="7"/>
      </w:r>
      <w:r>
        <w:rPr>
          <w:rFonts w:ascii="Arial" w:eastAsia="Arial" w:hAnsi="Arial" w:cs="Arial"/>
          <w:color w:val="000000"/>
          <w:sz w:val="22"/>
          <w:szCs w:val="22"/>
        </w:rPr>
        <w:t>.</w:t>
      </w:r>
    </w:p>
    <w:p w14:paraId="25AF6FBF" w14:textId="77777777" w:rsidR="003C3A03" w:rsidRDefault="00000000">
      <w:pPr>
        <w:pStyle w:val="Nadpis2"/>
        <w:numPr>
          <w:ilvl w:val="1"/>
          <w:numId w:val="1"/>
        </w:numPr>
      </w:pPr>
      <w:r>
        <w:t>Čl. 5</w:t>
      </w:r>
      <w:r>
        <w:br/>
        <w:t>Splatnost poplatku</w:t>
      </w:r>
    </w:p>
    <w:p w14:paraId="565EBEE3" w14:textId="77777777" w:rsidR="003C3A03" w:rsidRDefault="00000000" w:rsidP="00E1776E">
      <w:pPr>
        <w:numPr>
          <w:ilvl w:val="0"/>
          <w:numId w:val="6"/>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Poplatek je splatný nejpozději do 30. dubna příslušného kalendářního roku.</w:t>
      </w:r>
    </w:p>
    <w:p w14:paraId="0BCDF5C4" w14:textId="77777777" w:rsidR="003C3A03" w:rsidRDefault="00000000" w:rsidP="00E1776E">
      <w:pPr>
        <w:numPr>
          <w:ilvl w:val="0"/>
          <w:numId w:val="6"/>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Vznikne-li poplatková povinnost po datu splatnosti uvedeném v odstavci 1, je poplatek splatný nejpozději do patnáctého dne měsíce, který následuje po měsíci, ve kterém poplatková povinnost vznikla.</w:t>
      </w:r>
    </w:p>
    <w:p w14:paraId="775A17DF" w14:textId="77777777" w:rsidR="003C3A03" w:rsidRDefault="00000000" w:rsidP="00E1776E">
      <w:pPr>
        <w:numPr>
          <w:ilvl w:val="0"/>
          <w:numId w:val="6"/>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Lhůta splatnosti </w:t>
      </w:r>
      <w:proofErr w:type="gramStart"/>
      <w:r>
        <w:rPr>
          <w:rFonts w:ascii="Arial" w:eastAsia="Arial" w:hAnsi="Arial" w:cs="Arial"/>
          <w:color w:val="000000"/>
          <w:sz w:val="22"/>
          <w:szCs w:val="22"/>
        </w:rPr>
        <w:t>neskončí</w:t>
      </w:r>
      <w:proofErr w:type="gramEnd"/>
      <w:r>
        <w:rPr>
          <w:rFonts w:ascii="Arial" w:eastAsia="Arial" w:hAnsi="Arial" w:cs="Arial"/>
          <w:color w:val="000000"/>
          <w:sz w:val="22"/>
          <w:szCs w:val="22"/>
        </w:rPr>
        <w:t xml:space="preserve"> poplatníkovi dříve než lhůta pro podání ohlášení podle čl. 3 odst. 1 této vyhlášky.</w:t>
      </w:r>
    </w:p>
    <w:p w14:paraId="5652C4A4" w14:textId="77777777" w:rsidR="003C3A03" w:rsidRDefault="00000000">
      <w:pPr>
        <w:pStyle w:val="Nadpis2"/>
        <w:numPr>
          <w:ilvl w:val="1"/>
          <w:numId w:val="1"/>
        </w:numPr>
      </w:pPr>
      <w:r>
        <w:t>Čl. 6</w:t>
      </w:r>
      <w:r>
        <w:br/>
        <w:t xml:space="preserve"> Osvobození </w:t>
      </w:r>
    </w:p>
    <w:p w14:paraId="404EA085" w14:textId="77777777" w:rsidR="003C3A03" w:rsidRDefault="00000000" w:rsidP="00E1776E">
      <w:pPr>
        <w:numPr>
          <w:ilvl w:val="0"/>
          <w:numId w:val="7"/>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Fonts w:ascii="Arial" w:eastAsia="Arial" w:hAnsi="Arial" w:cs="Arial"/>
          <w:color w:val="000000"/>
          <w:sz w:val="22"/>
          <w:szCs w:val="22"/>
          <w:vertAlign w:val="superscript"/>
        </w:rPr>
        <w:footnoteReference w:id="8"/>
      </w:r>
      <w:r>
        <w:rPr>
          <w:rFonts w:ascii="Arial" w:eastAsia="Arial" w:hAnsi="Arial" w:cs="Arial"/>
          <w:color w:val="000000"/>
          <w:sz w:val="22"/>
          <w:szCs w:val="22"/>
        </w:rPr>
        <w:t>.</w:t>
      </w:r>
    </w:p>
    <w:p w14:paraId="2370D919" w14:textId="77777777" w:rsidR="003C3A03" w:rsidRDefault="00000000" w:rsidP="00E1776E">
      <w:pPr>
        <w:numPr>
          <w:ilvl w:val="0"/>
          <w:numId w:val="7"/>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V případě, že poplatník nesplní povinnost ohlásit údaj rozhodný pro osvobození ve lhůtách stanovených touto vyhláškou nebo zákonem, nárok na osvobození zaniká</w:t>
      </w:r>
      <w:r>
        <w:rPr>
          <w:rFonts w:ascii="Arial" w:eastAsia="Arial" w:hAnsi="Arial" w:cs="Arial"/>
          <w:color w:val="000000"/>
          <w:sz w:val="22"/>
          <w:szCs w:val="22"/>
          <w:vertAlign w:val="superscript"/>
        </w:rPr>
        <w:footnoteReference w:id="9"/>
      </w:r>
      <w:r>
        <w:rPr>
          <w:rFonts w:ascii="Arial" w:eastAsia="Arial" w:hAnsi="Arial" w:cs="Arial"/>
          <w:color w:val="000000"/>
          <w:sz w:val="22"/>
          <w:szCs w:val="22"/>
        </w:rPr>
        <w:t>.</w:t>
      </w:r>
    </w:p>
    <w:p w14:paraId="3B455233" w14:textId="77777777" w:rsidR="003C3A03" w:rsidRDefault="00000000">
      <w:pPr>
        <w:pStyle w:val="Nadpis2"/>
        <w:numPr>
          <w:ilvl w:val="1"/>
          <w:numId w:val="1"/>
        </w:numPr>
      </w:pPr>
      <w:r>
        <w:t>Čl. 7</w:t>
      </w:r>
      <w:r>
        <w:br/>
        <w:t xml:space="preserve"> Přechodné a zrušovací ustanovení </w:t>
      </w:r>
    </w:p>
    <w:p w14:paraId="6D6F3841" w14:textId="77777777" w:rsidR="003C3A03" w:rsidRDefault="00000000" w:rsidP="00E1776E">
      <w:pPr>
        <w:numPr>
          <w:ilvl w:val="0"/>
          <w:numId w:val="8"/>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Poplatkové povinnosti vzniklé před nabytím účinnosti této vyhlášky se posuzují podle dosavadních právních předpisů.</w:t>
      </w:r>
    </w:p>
    <w:p w14:paraId="5ECE0BA0" w14:textId="77777777" w:rsidR="003C3A03" w:rsidRDefault="00000000" w:rsidP="00E1776E">
      <w:pPr>
        <w:numPr>
          <w:ilvl w:val="0"/>
          <w:numId w:val="8"/>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Zrušuje se obecně závazná vyhláška č. 1/2010, Obecně závazná vyhláška obce Boňkov č. 1/2010 o místních poplatcích, ze dne 16. prosince 2010.</w:t>
      </w:r>
    </w:p>
    <w:p w14:paraId="21A0D643" w14:textId="77777777" w:rsidR="003C3A03" w:rsidRDefault="00000000">
      <w:pPr>
        <w:pStyle w:val="Nadpis2"/>
        <w:numPr>
          <w:ilvl w:val="1"/>
          <w:numId w:val="1"/>
        </w:numPr>
      </w:pPr>
      <w:r>
        <w:t>Čl. 8</w:t>
      </w:r>
      <w:r>
        <w:br/>
        <w:t>Účinnost</w:t>
      </w:r>
    </w:p>
    <w:p w14:paraId="324899B7" w14:textId="77777777" w:rsidR="003C3A03" w:rsidRDefault="00000000">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Tato vyhláška nabývá účinnosti dnem 1. ledna 2024.</w:t>
      </w:r>
    </w:p>
    <w:tbl>
      <w:tblPr>
        <w:tblStyle w:val="a"/>
        <w:tblW w:w="9641" w:type="dxa"/>
        <w:tblInd w:w="-55" w:type="dxa"/>
        <w:tblLayout w:type="fixed"/>
        <w:tblLook w:val="0000" w:firstRow="0" w:lastRow="0" w:firstColumn="0" w:lastColumn="0" w:noHBand="0" w:noVBand="0"/>
      </w:tblPr>
      <w:tblGrid>
        <w:gridCol w:w="4820"/>
        <w:gridCol w:w="4821"/>
      </w:tblGrid>
      <w:tr w:rsidR="003C3A03" w14:paraId="6F86EF95" w14:textId="77777777">
        <w:trPr>
          <w:trHeight w:val="1134"/>
        </w:trPr>
        <w:tc>
          <w:tcPr>
            <w:tcW w:w="4820" w:type="dxa"/>
            <w:shd w:val="clear" w:color="auto" w:fill="auto"/>
            <w:vAlign w:val="bottom"/>
          </w:tcPr>
          <w:p w14:paraId="263DBF00" w14:textId="77777777" w:rsidR="003C3A03" w:rsidRDefault="00000000">
            <w:pPr>
              <w:keepNext/>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lastRenderedPageBreak/>
              <w:t>Ing. Jaroslav Jakoubek v. r.</w:t>
            </w:r>
            <w:r>
              <w:rPr>
                <w:rFonts w:ascii="Arial" w:eastAsia="Arial" w:hAnsi="Arial" w:cs="Arial"/>
                <w:color w:val="000000"/>
                <w:sz w:val="22"/>
                <w:szCs w:val="22"/>
              </w:rPr>
              <w:br/>
              <w:t xml:space="preserve"> starosta </w:t>
            </w:r>
          </w:p>
        </w:tc>
        <w:tc>
          <w:tcPr>
            <w:tcW w:w="4821" w:type="dxa"/>
            <w:shd w:val="clear" w:color="auto" w:fill="auto"/>
            <w:vAlign w:val="bottom"/>
          </w:tcPr>
          <w:p w14:paraId="29D51B59" w14:textId="77777777" w:rsidR="003C3A03" w:rsidRDefault="0000000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Rostislav Vávra v. r.</w:t>
            </w:r>
            <w:r>
              <w:rPr>
                <w:rFonts w:ascii="Arial" w:eastAsia="Arial" w:hAnsi="Arial" w:cs="Arial"/>
                <w:color w:val="000000"/>
                <w:sz w:val="22"/>
                <w:szCs w:val="22"/>
              </w:rPr>
              <w:br/>
              <w:t xml:space="preserve"> místostarosta </w:t>
            </w:r>
          </w:p>
        </w:tc>
      </w:tr>
      <w:tr w:rsidR="003C3A03" w14:paraId="2E732D07" w14:textId="77777777">
        <w:trPr>
          <w:trHeight w:val="1134"/>
        </w:trPr>
        <w:tc>
          <w:tcPr>
            <w:tcW w:w="4820" w:type="dxa"/>
            <w:shd w:val="clear" w:color="auto" w:fill="auto"/>
            <w:vAlign w:val="bottom"/>
          </w:tcPr>
          <w:p w14:paraId="26A2278F" w14:textId="77777777" w:rsidR="003C3A03" w:rsidRDefault="003C3A03">
            <w:pPr>
              <w:widowControl w:val="0"/>
              <w:pBdr>
                <w:top w:val="nil"/>
                <w:left w:val="nil"/>
                <w:bottom w:val="nil"/>
                <w:right w:val="nil"/>
                <w:between w:val="nil"/>
              </w:pBdr>
              <w:jc w:val="center"/>
              <w:rPr>
                <w:rFonts w:ascii="Arial" w:eastAsia="Arial" w:hAnsi="Arial" w:cs="Arial"/>
                <w:color w:val="000000"/>
                <w:sz w:val="22"/>
                <w:szCs w:val="22"/>
              </w:rPr>
            </w:pPr>
          </w:p>
        </w:tc>
        <w:tc>
          <w:tcPr>
            <w:tcW w:w="4821" w:type="dxa"/>
            <w:shd w:val="clear" w:color="auto" w:fill="auto"/>
            <w:vAlign w:val="bottom"/>
          </w:tcPr>
          <w:p w14:paraId="35D45950" w14:textId="77777777" w:rsidR="003C3A03" w:rsidRDefault="003C3A03">
            <w:pPr>
              <w:widowControl w:val="0"/>
              <w:pBdr>
                <w:top w:val="nil"/>
                <w:left w:val="nil"/>
                <w:bottom w:val="nil"/>
                <w:right w:val="nil"/>
                <w:between w:val="nil"/>
              </w:pBdr>
              <w:jc w:val="center"/>
              <w:rPr>
                <w:rFonts w:ascii="Arial" w:eastAsia="Arial" w:hAnsi="Arial" w:cs="Arial"/>
                <w:color w:val="000000"/>
                <w:sz w:val="22"/>
                <w:szCs w:val="22"/>
              </w:rPr>
            </w:pPr>
          </w:p>
        </w:tc>
      </w:tr>
    </w:tbl>
    <w:p w14:paraId="13932CA7" w14:textId="77777777" w:rsidR="003C3A03" w:rsidRDefault="003C3A03"/>
    <w:sectPr w:rsidR="003C3A03">
      <w:pgSz w:w="11909" w:h="16834"/>
      <w:pgMar w:top="1134" w:right="1134" w:bottom="1134" w:left="1134"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E140" w14:textId="77777777" w:rsidR="005E7B46" w:rsidRDefault="005E7B46">
      <w:r>
        <w:separator/>
      </w:r>
    </w:p>
  </w:endnote>
  <w:endnote w:type="continuationSeparator" w:id="0">
    <w:p w14:paraId="196833E9" w14:textId="77777777" w:rsidR="005E7B46" w:rsidRDefault="005E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3B3B" w14:textId="77777777" w:rsidR="005E7B46" w:rsidRDefault="005E7B46">
      <w:r>
        <w:separator/>
      </w:r>
    </w:p>
  </w:footnote>
  <w:footnote w:type="continuationSeparator" w:id="0">
    <w:p w14:paraId="6CCF0B09" w14:textId="77777777" w:rsidR="005E7B46" w:rsidRDefault="005E7B46">
      <w:r>
        <w:continuationSeparator/>
      </w:r>
    </w:p>
  </w:footnote>
  <w:footnote w:id="1">
    <w:p w14:paraId="0766FBD0" w14:textId="77777777" w:rsidR="003C3A03" w:rsidRDefault="00000000">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2 odst. 5 zákona o místních poplatcích</w:t>
      </w:r>
    </w:p>
  </w:footnote>
  <w:footnote w:id="2">
    <w:p w14:paraId="14D70B58" w14:textId="77777777" w:rsidR="003C3A03" w:rsidRDefault="00000000">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15 odst. 1 zákona o místních poplatcích</w:t>
      </w:r>
    </w:p>
  </w:footnote>
  <w:footnote w:id="3">
    <w:p w14:paraId="18DAEBF7" w14:textId="77777777" w:rsidR="003C3A03" w:rsidRDefault="00000000">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2 odst. 1 a 4 zákona o místních poplatcích</w:t>
      </w:r>
    </w:p>
  </w:footnote>
  <w:footnote w:id="4">
    <w:p w14:paraId="219B10AA" w14:textId="77777777" w:rsidR="003C3A03" w:rsidRDefault="00000000">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2 odst. 2 zákona o místních poplatcích</w:t>
      </w:r>
    </w:p>
  </w:footnote>
  <w:footnote w:id="5">
    <w:p w14:paraId="54DB0A7F" w14:textId="77777777" w:rsidR="003C3A03" w:rsidRDefault="00000000">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14a odst. 1 a 2 zákona o místních poplatcích; v ohlášení poplatník uvede zejména své identifikační údaje a skutečnosti rozhodné pro stanovení poplatku</w:t>
      </w:r>
    </w:p>
  </w:footnote>
  <w:footnote w:id="6">
    <w:p w14:paraId="722E8193" w14:textId="77777777" w:rsidR="003C3A03" w:rsidRDefault="00000000">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14a odst. 4 zákona o místních poplatcích</w:t>
      </w:r>
    </w:p>
  </w:footnote>
  <w:footnote w:id="7">
    <w:p w14:paraId="7D2DE3A1" w14:textId="77777777" w:rsidR="003C3A03" w:rsidRDefault="00000000">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2 odst. 3 zákona o místních poplatcích</w:t>
      </w:r>
    </w:p>
  </w:footnote>
  <w:footnote w:id="8">
    <w:p w14:paraId="648281CF" w14:textId="77777777" w:rsidR="003C3A03" w:rsidRDefault="00000000">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2 odst. 2 zákona o místních poplatcích</w:t>
      </w:r>
    </w:p>
  </w:footnote>
  <w:footnote w:id="9">
    <w:p w14:paraId="7DBAD8CF" w14:textId="77777777" w:rsidR="003C3A03" w:rsidRDefault="00000000">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7481"/>
    <w:multiLevelType w:val="multilevel"/>
    <w:tmpl w:val="2A9A9C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48942FE"/>
    <w:multiLevelType w:val="multilevel"/>
    <w:tmpl w:val="2A9A9C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8376728"/>
    <w:multiLevelType w:val="multilevel"/>
    <w:tmpl w:val="2A9A9C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5367A04"/>
    <w:multiLevelType w:val="multilevel"/>
    <w:tmpl w:val="2A9A9C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A72747B"/>
    <w:multiLevelType w:val="multilevel"/>
    <w:tmpl w:val="CAAA581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71157358"/>
    <w:multiLevelType w:val="multilevel"/>
    <w:tmpl w:val="2A9A9C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529001F"/>
    <w:multiLevelType w:val="multilevel"/>
    <w:tmpl w:val="2A9A9C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8010F66"/>
    <w:multiLevelType w:val="multilevel"/>
    <w:tmpl w:val="2A9A9C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24832808">
    <w:abstractNumId w:val="4"/>
  </w:num>
  <w:num w:numId="2" w16cid:durableId="2146461938">
    <w:abstractNumId w:val="7"/>
  </w:num>
  <w:num w:numId="3" w16cid:durableId="980573258">
    <w:abstractNumId w:val="2"/>
  </w:num>
  <w:num w:numId="4" w16cid:durableId="950235921">
    <w:abstractNumId w:val="0"/>
  </w:num>
  <w:num w:numId="5" w16cid:durableId="1617592306">
    <w:abstractNumId w:val="6"/>
  </w:num>
  <w:num w:numId="6" w16cid:durableId="1516577278">
    <w:abstractNumId w:val="5"/>
  </w:num>
  <w:num w:numId="7" w16cid:durableId="1334525078">
    <w:abstractNumId w:val="3"/>
  </w:num>
  <w:num w:numId="8" w16cid:durableId="115194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A03"/>
    <w:rsid w:val="003C3A03"/>
    <w:rsid w:val="005E7B46"/>
    <w:rsid w:val="00E177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C567"/>
  <w15:docId w15:val="{9BA0B77D-1E4F-4D64-8E79-AD04EF71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spacing w:before="238" w:after="238"/>
      <w:jc w:val="center"/>
      <w:outlineLvl w:val="0"/>
    </w:pPr>
    <w:rPr>
      <w:rFonts w:ascii="Arial" w:eastAsia="Arial" w:hAnsi="Arial" w:cs="Arial"/>
      <w:b/>
    </w:rPr>
  </w:style>
  <w:style w:type="paragraph" w:styleId="Nadpis2">
    <w:name w:val="heading 2"/>
    <w:basedOn w:val="Normln"/>
    <w:next w:val="Normln"/>
    <w:uiPriority w:val="9"/>
    <w:unhideWhenUsed/>
    <w:qFormat/>
    <w:pPr>
      <w:keepNext/>
      <w:spacing w:before="360" w:after="120" w:line="276" w:lineRule="auto"/>
      <w:jc w:val="center"/>
      <w:outlineLvl w:val="1"/>
    </w:pPr>
    <w:rPr>
      <w:rFonts w:ascii="Arial" w:eastAsia="Arial" w:hAnsi="Arial" w:cs="Arial"/>
      <w:b/>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spacing w:before="240" w:after="120"/>
      <w:jc w:val="center"/>
    </w:pPr>
    <w:rPr>
      <w:rFonts w:ascii="Arial" w:eastAsia="Arial" w:hAnsi="Arial" w:cs="Arial"/>
      <w:b/>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2799</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Obec Boňkov</cp:lastModifiedBy>
  <cp:revision>2</cp:revision>
  <dcterms:created xsi:type="dcterms:W3CDTF">2023-11-21T09:16:00Z</dcterms:created>
  <dcterms:modified xsi:type="dcterms:W3CDTF">2023-11-21T09:17:00Z</dcterms:modified>
</cp:coreProperties>
</file>