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A3" w:rsidRDefault="00196E37">
      <w:pPr>
        <w:spacing w:line="201" w:lineRule="auto"/>
        <w:ind w:right="108"/>
        <w:jc w:val="right"/>
        <w:rPr>
          <w:rFonts w:ascii="Times New Roman" w:hAnsi="Times New Roman"/>
          <w:b/>
          <w:color w:val="000000"/>
          <w:spacing w:val="-2"/>
          <w:lang w:val="cs-CZ"/>
        </w:rPr>
      </w:pPr>
      <w:r>
        <w:rPr>
          <w:rFonts w:ascii="Times New Roman" w:hAnsi="Times New Roman"/>
          <w:b/>
          <w:color w:val="000000"/>
          <w:spacing w:val="-2"/>
          <w:lang w:val="cs-CZ"/>
        </w:rPr>
        <w:t>Příloha číslo: 3</w:t>
      </w:r>
    </w:p>
    <w:p w:rsidR="001E2CA3" w:rsidRDefault="00196E37">
      <w:pPr>
        <w:spacing w:before="504"/>
        <w:ind w:left="288"/>
        <w:rPr>
          <w:rFonts w:ascii="Times New Roman" w:hAnsi="Times New Roman"/>
          <w:b/>
          <w:color w:val="000000"/>
          <w:spacing w:val="-1"/>
          <w:lang w:val="cs-CZ"/>
        </w:rPr>
      </w:pPr>
      <w:r>
        <w:rPr>
          <w:rFonts w:ascii="Times New Roman" w:hAnsi="Times New Roman"/>
          <w:b/>
          <w:color w:val="000000"/>
          <w:spacing w:val="-1"/>
          <w:lang w:val="cs-CZ"/>
        </w:rPr>
        <w:t>Obsah identifikační karty prostoru (stavby) pro akce podle § 3 odst.</w:t>
      </w:r>
      <w:r>
        <w:rPr>
          <w:rFonts w:ascii="Times New Roman" w:hAnsi="Times New Roman"/>
          <w:b/>
          <w:color w:val="000000"/>
          <w:spacing w:val="-1"/>
          <w:lang w:val="cs-CZ"/>
        </w:rPr>
        <w:t xml:space="preserve"> 2 tohoto nařízení:</w:t>
      </w:r>
    </w:p>
    <w:p w:rsidR="001E2CA3" w:rsidRDefault="00196E37">
      <w:pPr>
        <w:spacing w:before="180"/>
        <w:ind w:right="72" w:firstLine="648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Není-li pro prostor (stavbu) v dokumentaci ověřené stavebním úřadem stanovena horní </w:t>
      </w:r>
      <w:r>
        <w:rPr>
          <w:rFonts w:ascii="Times New Roman" w:hAnsi="Times New Roman"/>
          <w:color w:val="000000"/>
          <w:spacing w:val="2"/>
          <w:lang w:val="cs-CZ"/>
        </w:rPr>
        <w:t xml:space="preserve">hranice počtu osob, které se mohou současné v tomto prostoru vyskytovat, zajistí organizátor </w:t>
      </w:r>
      <w:r>
        <w:rPr>
          <w:rFonts w:ascii="Times New Roman" w:hAnsi="Times New Roman"/>
          <w:color w:val="000000"/>
          <w:spacing w:val="1"/>
          <w:lang w:val="cs-CZ"/>
        </w:rPr>
        <w:t xml:space="preserve">akce v rámci stanovení rozsahu a způsobu zabezpečení požární ochrany akce (viz čl. 2 odst. 5 </w:t>
      </w:r>
      <w:r>
        <w:rPr>
          <w:rFonts w:ascii="Times New Roman" w:hAnsi="Times New Roman"/>
          <w:color w:val="000000"/>
          <w:spacing w:val="-1"/>
          <w:lang w:val="cs-CZ"/>
        </w:rPr>
        <w:t>této vyhlášky) zpracování identifikační karty prostoru (stavby), která</w:t>
      </w:r>
      <w:r>
        <w:rPr>
          <w:rFonts w:ascii="Times New Roman" w:hAnsi="Times New Roman"/>
          <w:color w:val="000000"/>
          <w:spacing w:val="-1"/>
          <w:lang w:val="cs-CZ"/>
        </w:rPr>
        <w:t xml:space="preserve"> bude obsahovat minimálně </w:t>
      </w:r>
      <w:r>
        <w:rPr>
          <w:rFonts w:ascii="Times New Roman" w:hAnsi="Times New Roman"/>
          <w:color w:val="000000"/>
          <w:lang w:val="cs-CZ"/>
        </w:rPr>
        <w:t>tyto údaje</w:t>
      </w:r>
    </w:p>
    <w:p w:rsidR="001E2CA3" w:rsidRDefault="00196E37">
      <w:pPr>
        <w:numPr>
          <w:ilvl w:val="0"/>
          <w:numId w:val="1"/>
        </w:numPr>
        <w:tabs>
          <w:tab w:val="clear" w:pos="360"/>
          <w:tab w:val="decimal" w:pos="720"/>
        </w:tabs>
        <w:spacing w:before="216"/>
        <w:ind w:left="360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velikost - využitelná plocha prostoru pro pořádání akce,</w:t>
      </w:r>
    </w:p>
    <w:p w:rsidR="001E2CA3" w:rsidRDefault="00196E37">
      <w:pPr>
        <w:numPr>
          <w:ilvl w:val="0"/>
          <w:numId w:val="1"/>
        </w:numPr>
        <w:tabs>
          <w:tab w:val="clear" w:pos="360"/>
          <w:tab w:val="decimal" w:pos="720"/>
        </w:tabs>
        <w:ind w:left="360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>stanovení horní hranice počtu zúčastněných osob,</w:t>
      </w:r>
    </w:p>
    <w:p w:rsidR="001E2CA3" w:rsidRDefault="00196E37">
      <w:pPr>
        <w:numPr>
          <w:ilvl w:val="0"/>
          <w:numId w:val="1"/>
        </w:numPr>
        <w:tabs>
          <w:tab w:val="clear" w:pos="360"/>
          <w:tab w:val="decimal" w:pos="720"/>
        </w:tabs>
        <w:ind w:left="360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>způsob a postup vyhlášení požárního poplachu,</w:t>
      </w:r>
    </w:p>
    <w:p w:rsidR="001E2CA3" w:rsidRDefault="00196E37">
      <w:pPr>
        <w:numPr>
          <w:ilvl w:val="0"/>
          <w:numId w:val="1"/>
        </w:numPr>
        <w:tabs>
          <w:tab w:val="clear" w:pos="360"/>
          <w:tab w:val="decimal" w:pos="720"/>
        </w:tabs>
        <w:ind w:right="72" w:hanging="36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zp</w:t>
      </w:r>
      <w:r>
        <w:rPr>
          <w:rFonts w:ascii="Times New Roman" w:hAnsi="Times New Roman"/>
          <w:color w:val="000000"/>
          <w:spacing w:val="-1"/>
          <w:lang w:val="cs-CZ"/>
        </w:rPr>
        <w:t xml:space="preserve">ůsob zajištění evakuace (přesné určení kdo, jakým způsobem oznámí nutnost evakuace </w:t>
      </w:r>
      <w:r>
        <w:rPr>
          <w:rFonts w:ascii="Times New Roman" w:hAnsi="Times New Roman"/>
          <w:color w:val="000000"/>
          <w:spacing w:val="-1"/>
          <w:lang w:val="cs-CZ"/>
        </w:rPr>
        <w:br/>
        <w:t>včetně určených únikových komunikací a východů atd.) a pomoci při zdolávání požáru,</w:t>
      </w:r>
    </w:p>
    <w:p w:rsidR="001E2CA3" w:rsidRDefault="00196E37">
      <w:pPr>
        <w:numPr>
          <w:ilvl w:val="0"/>
          <w:numId w:val="1"/>
        </w:numPr>
        <w:tabs>
          <w:tab w:val="clear" w:pos="360"/>
          <w:tab w:val="decimal" w:pos="720"/>
        </w:tabs>
        <w:ind w:right="72" w:hanging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počet, situování, kapacita (šířky) únikových komunikací a východů včetně pokynů k </w:t>
      </w:r>
      <w:r>
        <w:rPr>
          <w:rFonts w:ascii="Times New Roman" w:hAnsi="Times New Roman"/>
          <w:color w:val="000000"/>
          <w:spacing w:val="-1"/>
          <w:lang w:val="cs-CZ"/>
        </w:rPr>
        <w:t>zabezp</w:t>
      </w:r>
      <w:r>
        <w:rPr>
          <w:rFonts w:ascii="Times New Roman" w:hAnsi="Times New Roman"/>
          <w:color w:val="000000"/>
          <w:spacing w:val="-1"/>
          <w:lang w:val="cs-CZ"/>
        </w:rPr>
        <w:t>ečení jejich trvalé provozuschopnosti,</w:t>
      </w:r>
    </w:p>
    <w:p w:rsidR="001E2CA3" w:rsidRDefault="00196E37">
      <w:pPr>
        <w:numPr>
          <w:ilvl w:val="0"/>
          <w:numId w:val="1"/>
        </w:numPr>
        <w:tabs>
          <w:tab w:val="clear" w:pos="360"/>
          <w:tab w:val="decimal" w:pos="720"/>
        </w:tabs>
        <w:ind w:right="72" w:hanging="36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rozmístění. </w:t>
      </w:r>
      <w:proofErr w:type="gramStart"/>
      <w:r>
        <w:rPr>
          <w:rFonts w:ascii="Times New Roman" w:hAnsi="Times New Roman"/>
          <w:color w:val="000000"/>
          <w:spacing w:val="1"/>
          <w:lang w:val="cs-CZ"/>
        </w:rPr>
        <w:t>typ</w:t>
      </w:r>
      <w:proofErr w:type="gramEnd"/>
      <w:r>
        <w:rPr>
          <w:rFonts w:ascii="Times New Roman" w:hAnsi="Times New Roman"/>
          <w:color w:val="000000"/>
          <w:spacing w:val="1"/>
          <w:lang w:val="cs-CZ"/>
        </w:rPr>
        <w:t xml:space="preserve"> (D25, C52) vnitřního hydrantového systému; umístění a vzdálenost </w:t>
      </w:r>
      <w:r>
        <w:rPr>
          <w:rFonts w:ascii="Times New Roman" w:hAnsi="Times New Roman"/>
          <w:color w:val="000000"/>
          <w:spacing w:val="-2"/>
          <w:lang w:val="cs-CZ"/>
        </w:rPr>
        <w:t>venkovních hydrantů,</w:t>
      </w:r>
    </w:p>
    <w:p w:rsidR="001E2CA3" w:rsidRDefault="00196E37">
      <w:pPr>
        <w:numPr>
          <w:ilvl w:val="0"/>
          <w:numId w:val="1"/>
        </w:numPr>
        <w:tabs>
          <w:tab w:val="clear" w:pos="360"/>
          <w:tab w:val="decimal" w:pos="720"/>
        </w:tabs>
        <w:ind w:hanging="360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>počet, druh a rozmístění přenosných hasicích přístrojů,</w:t>
      </w:r>
    </w:p>
    <w:p w:rsidR="001E2CA3" w:rsidRDefault="00196E37">
      <w:pPr>
        <w:numPr>
          <w:ilvl w:val="0"/>
          <w:numId w:val="1"/>
        </w:numPr>
        <w:tabs>
          <w:tab w:val="clear" w:pos="360"/>
          <w:tab w:val="decimal" w:pos="720"/>
        </w:tabs>
        <w:ind w:right="72" w:hanging="36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informace o dalších věcných prostředcích požární ochrany a </w:t>
      </w:r>
      <w:r>
        <w:rPr>
          <w:rFonts w:ascii="Times New Roman" w:hAnsi="Times New Roman"/>
          <w:color w:val="000000"/>
          <w:spacing w:val="-1"/>
          <w:lang w:val="cs-CZ"/>
        </w:rPr>
        <w:t>požárně bezpečnostních zařízeních, jsou-li v objektu/prostoru instalovány,</w:t>
      </w:r>
    </w:p>
    <w:p w:rsidR="001E2CA3" w:rsidRDefault="00196E37">
      <w:pPr>
        <w:numPr>
          <w:ilvl w:val="0"/>
          <w:numId w:val="1"/>
        </w:numPr>
        <w:tabs>
          <w:tab w:val="clear" w:pos="360"/>
          <w:tab w:val="decimal" w:pos="720"/>
        </w:tabs>
        <w:ind w:right="72" w:hanging="36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umístění uzávěru vody, plynu, topení, rozvodných zařízení elektrické energie, jejich </w:t>
      </w:r>
      <w:r>
        <w:rPr>
          <w:rFonts w:ascii="Times New Roman" w:hAnsi="Times New Roman"/>
          <w:color w:val="000000"/>
          <w:spacing w:val="-2"/>
          <w:lang w:val="cs-CZ"/>
        </w:rPr>
        <w:t>označení včetně přístupu k nim,</w:t>
      </w:r>
    </w:p>
    <w:p w:rsidR="001E2CA3" w:rsidRDefault="00196E37">
      <w:pPr>
        <w:numPr>
          <w:ilvl w:val="0"/>
          <w:numId w:val="1"/>
        </w:numPr>
        <w:tabs>
          <w:tab w:val="clear" w:pos="360"/>
          <w:tab w:val="decimal" w:pos="720"/>
        </w:tabs>
        <w:ind w:hanging="360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seznam a rozmíst</w:t>
      </w:r>
      <w:r>
        <w:rPr>
          <w:rFonts w:ascii="Times New Roman" w:hAnsi="Times New Roman"/>
          <w:color w:val="000000"/>
          <w:spacing w:val="3"/>
          <w:lang w:val="cs-CZ"/>
        </w:rPr>
        <w:t>ění použitých výstražných a informačních tabulek.</w:t>
      </w:r>
    </w:p>
    <w:p w:rsidR="001E2CA3" w:rsidRDefault="00196E37">
      <w:pPr>
        <w:spacing w:before="468"/>
        <w:ind w:right="72" w:firstLine="360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Identifikační karta musí být trvale k dispozici pro potřeby požární hlídky a seznámení s jejím </w:t>
      </w:r>
      <w:r>
        <w:rPr>
          <w:rFonts w:ascii="Times New Roman" w:hAnsi="Times New Roman"/>
          <w:color w:val="000000"/>
          <w:spacing w:val="-1"/>
          <w:lang w:val="cs-CZ"/>
        </w:rPr>
        <w:t>obsahem musí být součástí odborné přípravy požární hlídky.</w:t>
      </w:r>
    </w:p>
    <w:p w:rsidR="001E2CA3" w:rsidRDefault="00196E37">
      <w:pPr>
        <w:numPr>
          <w:ilvl w:val="0"/>
          <w:numId w:val="2"/>
        </w:numPr>
        <w:tabs>
          <w:tab w:val="clear" w:pos="216"/>
          <w:tab w:val="decimal" w:pos="288"/>
        </w:tabs>
        <w:spacing w:before="756"/>
        <w:ind w:left="0" w:right="72" w:firstLine="72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§ 27 odst. 1 písm. f) 3. zákona </w:t>
      </w:r>
      <w:r>
        <w:rPr>
          <w:rFonts w:ascii="Times New Roman" w:hAnsi="Times New Roman"/>
          <w:color w:val="000000"/>
          <w:spacing w:val="3"/>
          <w:lang w:val="cs-CZ"/>
        </w:rPr>
        <w:t xml:space="preserve">č. 133/1985 Sb., o požární ochraně, ve znění pozdějších </w:t>
      </w:r>
      <w:r>
        <w:rPr>
          <w:rFonts w:ascii="Times New Roman" w:hAnsi="Times New Roman"/>
          <w:color w:val="000000"/>
          <w:spacing w:val="-1"/>
          <w:lang w:val="cs-CZ"/>
        </w:rPr>
        <w:t>předpisů, § 9 písm. a) nařízení vlády č. 172/2001 Sb., k provedení zákona o požární ochraně.</w:t>
      </w:r>
    </w:p>
    <w:p w:rsidR="001E2CA3" w:rsidRDefault="00196E37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Např. zákon č. 84/1990 Sb., o právu shromažďovacím.</w:t>
      </w:r>
    </w:p>
    <w:p w:rsidR="001E2CA3" w:rsidRDefault="00196E37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right="72" w:firstLine="72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Např. § 3 písm. e) vyhlášky Ministerstva pro místní roz</w:t>
      </w:r>
      <w:r>
        <w:rPr>
          <w:rFonts w:ascii="Times New Roman" w:hAnsi="Times New Roman"/>
          <w:color w:val="000000"/>
          <w:spacing w:val="1"/>
          <w:lang w:val="cs-CZ"/>
        </w:rPr>
        <w:t xml:space="preserve">voj č. 137/1998 Sb., o obecných </w:t>
      </w:r>
      <w:r>
        <w:rPr>
          <w:rFonts w:ascii="Times New Roman" w:hAnsi="Times New Roman"/>
          <w:color w:val="000000"/>
          <w:spacing w:val="-1"/>
          <w:lang w:val="cs-CZ"/>
        </w:rPr>
        <w:t>technických požadavcích na výstavbu,</w:t>
      </w:r>
    </w:p>
    <w:p w:rsidR="001E2CA3" w:rsidRDefault="00196E37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ČSN 73 0831.</w:t>
      </w:r>
    </w:p>
    <w:p w:rsidR="001E2CA3" w:rsidRDefault="00196E37">
      <w:pPr>
        <w:numPr>
          <w:ilvl w:val="0"/>
          <w:numId w:val="2"/>
        </w:numPr>
        <w:tabs>
          <w:tab w:val="clear" w:pos="216"/>
          <w:tab w:val="decimal" w:pos="288"/>
        </w:tabs>
        <w:spacing w:before="180" w:line="280" w:lineRule="auto"/>
        <w:ind w:left="0" w:firstLine="72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ČSN 73 0831 Požární bezpečnost staveb. Shromažďovací</w:t>
      </w:r>
      <w:bookmarkStart w:id="0" w:name="_GoBack"/>
      <w:bookmarkEnd w:id="0"/>
      <w:r>
        <w:rPr>
          <w:rFonts w:ascii="Times New Roman" w:hAnsi="Times New Roman"/>
          <w:color w:val="000000"/>
          <w:spacing w:val="2"/>
          <w:lang w:val="cs-CZ"/>
        </w:rPr>
        <w:t xml:space="preserve"> prostory</w:t>
      </w:r>
    </w:p>
    <w:p w:rsidR="001E2CA3" w:rsidRDefault="001E2CA3">
      <w:pPr>
        <w:sectPr w:rsidR="001E2CA3">
          <w:pgSz w:w="11918" w:h="16854"/>
          <w:pgMar w:top="3360" w:right="1529" w:bottom="2184" w:left="1689" w:header="720" w:footer="720" w:gutter="0"/>
          <w:cols w:space="708"/>
        </w:sectPr>
      </w:pPr>
    </w:p>
    <w:p w:rsidR="001E2CA3" w:rsidRDefault="00196E37">
      <w:pPr>
        <w:numPr>
          <w:ilvl w:val="0"/>
          <w:numId w:val="3"/>
        </w:numPr>
        <w:tabs>
          <w:tab w:val="clear" w:pos="288"/>
          <w:tab w:val="decimal" w:pos="432"/>
        </w:tabs>
        <w:ind w:left="72" w:right="72" w:firstLine="7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lastRenderedPageBreak/>
        <w:t xml:space="preserve">Zákon </w:t>
      </w:r>
      <w:r>
        <w:rPr>
          <w:rFonts w:ascii="Times New Roman" w:hAnsi="Times New Roman"/>
          <w:color w:val="000000"/>
          <w:spacing w:val="-2"/>
          <w:lang w:val="cs-CZ"/>
        </w:rPr>
        <w:t>č. 50/1976 Sb., o územním plánování a stavebním řádu (stavební zákon), ve znění pozdějších předpisů.</w:t>
      </w:r>
    </w:p>
    <w:p w:rsidR="001E2CA3" w:rsidRDefault="00196E37">
      <w:pPr>
        <w:numPr>
          <w:ilvl w:val="0"/>
          <w:numId w:val="3"/>
        </w:numPr>
        <w:tabs>
          <w:tab w:val="decimal" w:pos="360"/>
        </w:tabs>
        <w:spacing w:before="216"/>
        <w:ind w:left="72" w:firstLine="72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Např. § 34 zákona č. 128/2000 Sb., o obcích (obecní zřízení).</w:t>
      </w:r>
    </w:p>
    <w:p w:rsidR="001E2CA3" w:rsidRDefault="00196E37">
      <w:pPr>
        <w:numPr>
          <w:ilvl w:val="0"/>
          <w:numId w:val="3"/>
        </w:numPr>
        <w:tabs>
          <w:tab w:val="decimal" w:pos="360"/>
        </w:tabs>
        <w:spacing w:before="252"/>
        <w:ind w:left="72" w:right="72" w:firstLine="72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Např. § 85 zákona č. 50/1976 Sb., o územním plánování a stavebním řádu (stavební zákon), ve </w:t>
      </w:r>
      <w:r>
        <w:rPr>
          <w:rFonts w:ascii="Times New Roman" w:hAnsi="Times New Roman"/>
          <w:color w:val="000000"/>
          <w:lang w:val="cs-CZ"/>
        </w:rPr>
        <w:t>z</w:t>
      </w:r>
      <w:r>
        <w:rPr>
          <w:rFonts w:ascii="Times New Roman" w:hAnsi="Times New Roman"/>
          <w:color w:val="000000"/>
          <w:lang w:val="cs-CZ"/>
        </w:rPr>
        <w:t>nění pozdějších předpisů.</w:t>
      </w:r>
    </w:p>
    <w:p w:rsidR="001E2CA3" w:rsidRDefault="00196E37">
      <w:pPr>
        <w:numPr>
          <w:ilvl w:val="0"/>
          <w:numId w:val="3"/>
        </w:numPr>
        <w:tabs>
          <w:tab w:val="decimal" w:pos="360"/>
        </w:tabs>
        <w:spacing w:before="252"/>
        <w:ind w:left="72" w:firstLine="72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>§ 2 zákona č. 133/1985 Sb.</w:t>
      </w:r>
    </w:p>
    <w:p w:rsidR="001E2CA3" w:rsidRDefault="00196E37">
      <w:pPr>
        <w:numPr>
          <w:ilvl w:val="0"/>
          <w:numId w:val="3"/>
        </w:numPr>
        <w:tabs>
          <w:tab w:val="decimal" w:pos="360"/>
        </w:tabs>
        <w:spacing w:before="252"/>
        <w:ind w:left="72" w:right="72" w:firstLine="72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§ 15 vyhlášky č.246/2001 Sb., o stanovení podmínek požární bezpečnosti a výkonu státního </w:t>
      </w:r>
      <w:r>
        <w:rPr>
          <w:rFonts w:ascii="Times New Roman" w:hAnsi="Times New Roman"/>
          <w:color w:val="000000"/>
          <w:spacing w:val="-1"/>
          <w:lang w:val="cs-CZ"/>
        </w:rPr>
        <w:t>požárního dozoru (vyhláška o požární prevenci).</w:t>
      </w:r>
    </w:p>
    <w:p w:rsidR="001E2CA3" w:rsidRDefault="00196E37">
      <w:pPr>
        <w:numPr>
          <w:ilvl w:val="0"/>
          <w:numId w:val="3"/>
        </w:numPr>
        <w:tabs>
          <w:tab w:val="decimal" w:pos="504"/>
        </w:tabs>
        <w:spacing w:before="252"/>
        <w:ind w:left="72" w:firstLine="72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§ 6 odst. 5 zákona č. 84/1990 Sb., o právu shromažďovacím.</w:t>
      </w:r>
    </w:p>
    <w:p w:rsidR="001E2CA3" w:rsidRDefault="00196E37">
      <w:pPr>
        <w:numPr>
          <w:ilvl w:val="0"/>
          <w:numId w:val="3"/>
        </w:numPr>
        <w:tabs>
          <w:tab w:val="decimal" w:pos="504"/>
        </w:tabs>
        <w:spacing w:before="252"/>
        <w:ind w:left="72" w:firstLine="72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§ 16 a § 16a zákona č. 133/1985 Sb., § 24 vyhlášky č. 246/2001 Sb.</w:t>
      </w:r>
    </w:p>
    <w:p w:rsidR="001E2CA3" w:rsidRDefault="00196E37">
      <w:pPr>
        <w:numPr>
          <w:ilvl w:val="0"/>
          <w:numId w:val="3"/>
        </w:numPr>
        <w:tabs>
          <w:tab w:val="decimal" w:pos="504"/>
        </w:tabs>
        <w:spacing w:before="252"/>
        <w:ind w:left="72" w:firstLine="72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>§ 2 odst. 5 a 6 a § 3 vyhlášky Č. 246/2001 Sb.</w:t>
      </w:r>
    </w:p>
    <w:p w:rsidR="001E2CA3" w:rsidRDefault="00196E37">
      <w:pPr>
        <w:numPr>
          <w:ilvl w:val="0"/>
          <w:numId w:val="3"/>
        </w:numPr>
        <w:tabs>
          <w:tab w:val="decimal" w:pos="504"/>
        </w:tabs>
        <w:spacing w:before="252"/>
        <w:ind w:left="72" w:firstLine="72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>§ 2 odst. 4 písm. f) vyhlášky č. 246/2001 Sb.</w:t>
      </w:r>
    </w:p>
    <w:p w:rsidR="001E2CA3" w:rsidRDefault="00196E37">
      <w:pPr>
        <w:numPr>
          <w:ilvl w:val="0"/>
          <w:numId w:val="3"/>
        </w:numPr>
        <w:tabs>
          <w:tab w:val="decimal" w:pos="504"/>
        </w:tabs>
        <w:spacing w:before="252"/>
        <w:ind w:left="72" w:right="72" w:firstLine="7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Např. vyhláška Českého báňského úřadu č. 174/1992 Sb., o pyrotechnických výrobcích a zacházení s</w:t>
      </w:r>
      <w:r>
        <w:rPr>
          <w:rFonts w:ascii="Times New Roman" w:hAnsi="Times New Roman"/>
          <w:color w:val="000000"/>
          <w:spacing w:val="-2"/>
          <w:lang w:val="cs-CZ"/>
        </w:rPr>
        <w:t xml:space="preserve"> nimi.</w:t>
      </w:r>
    </w:p>
    <w:p w:rsidR="001E2CA3" w:rsidRDefault="00196E37">
      <w:pPr>
        <w:numPr>
          <w:ilvl w:val="0"/>
          <w:numId w:val="3"/>
        </w:numPr>
        <w:tabs>
          <w:tab w:val="decimal" w:pos="504"/>
        </w:tabs>
        <w:spacing w:before="252"/>
        <w:ind w:left="72" w:right="72" w:firstLine="72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 xml:space="preserve">Zákon č. 238/2000 Sb., o Hasičském záchranném sboru České republiky a o změně některých </w:t>
      </w:r>
      <w:r>
        <w:rPr>
          <w:rFonts w:ascii="Times New Roman" w:hAnsi="Times New Roman"/>
          <w:color w:val="000000"/>
          <w:lang w:val="cs-CZ"/>
        </w:rPr>
        <w:t>zákonů.</w:t>
      </w:r>
    </w:p>
    <w:p w:rsidR="001E2CA3" w:rsidRDefault="00196E37">
      <w:pPr>
        <w:numPr>
          <w:ilvl w:val="0"/>
          <w:numId w:val="3"/>
        </w:numPr>
        <w:tabs>
          <w:tab w:val="decimal" w:pos="504"/>
        </w:tabs>
        <w:spacing w:before="252"/>
        <w:ind w:left="72" w:right="72" w:firstLine="72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Např. zákon č. 133/1985 Sb., o požární ochraně, ve znění pozdějších předpisů, vyhláška č. </w:t>
      </w:r>
      <w:r>
        <w:rPr>
          <w:rFonts w:ascii="Times New Roman" w:hAnsi="Times New Roman"/>
          <w:color w:val="000000"/>
          <w:lang w:val="cs-CZ"/>
        </w:rPr>
        <w:t>246/2001 Sb.</w:t>
      </w:r>
    </w:p>
    <w:p w:rsidR="001E2CA3" w:rsidRDefault="00196E37">
      <w:pPr>
        <w:numPr>
          <w:ilvl w:val="0"/>
          <w:numId w:val="3"/>
        </w:numPr>
        <w:tabs>
          <w:tab w:val="decimal" w:pos="504"/>
        </w:tabs>
        <w:spacing w:before="180"/>
        <w:ind w:left="72" w:firstLine="72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§ 135 odst. 4 písm. e) zák. </w:t>
      </w:r>
      <w:r>
        <w:rPr>
          <w:rFonts w:ascii="Times New Roman" w:hAnsi="Times New Roman"/>
          <w:color w:val="000000"/>
          <w:spacing w:val="3"/>
          <w:lang w:val="cs-CZ"/>
        </w:rPr>
        <w:t>č. 65/1965 Sb., zákoníku práce</w:t>
      </w:r>
    </w:p>
    <w:sectPr w:rsidR="001E2CA3">
      <w:pgSz w:w="11918" w:h="16854"/>
      <w:pgMar w:top="2940" w:right="1593" w:bottom="5764" w:left="162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0FD6"/>
    <w:multiLevelType w:val="multilevel"/>
    <w:tmpl w:val="708C3242"/>
    <w:lvl w:ilvl="0">
      <w:start w:val="5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BE6D97"/>
    <w:multiLevelType w:val="multilevel"/>
    <w:tmpl w:val="2C4E065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B10ABD"/>
    <w:multiLevelType w:val="multilevel"/>
    <w:tmpl w:val="26A858A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2CA3"/>
    <w:rsid w:val="00196E37"/>
    <w:rsid w:val="001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Jindřich Protivánek</cp:lastModifiedBy>
  <cp:revision>3</cp:revision>
  <dcterms:created xsi:type="dcterms:W3CDTF">2024-12-17T08:00:00Z</dcterms:created>
  <dcterms:modified xsi:type="dcterms:W3CDTF">2024-12-17T08:00:00Z</dcterms:modified>
</cp:coreProperties>
</file>