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02" w14:textId="77777777" w:rsidR="00010CEA" w:rsidRDefault="00C93EFA">
      <w:pPr>
        <w:pBdr>
          <w:top w:val="nil"/>
          <w:left w:val="nil"/>
          <w:bottom w:val="nil"/>
          <w:right w:val="nil"/>
          <w:between w:val="nil"/>
        </w:pBdr>
        <w:spacing w:line="276" w:lineRule="auto"/>
        <w:ind w:left="0" w:hanging="2"/>
        <w:jc w:val="center"/>
        <w:rPr>
          <w:rFonts w:ascii="Arial" w:eastAsia="Arial" w:hAnsi="Arial" w:cs="Arial"/>
          <w:color w:val="000000"/>
        </w:rPr>
      </w:pPr>
      <w:r>
        <w:rPr>
          <w:rFonts w:ascii="Arial" w:eastAsia="Arial" w:hAnsi="Arial" w:cs="Arial"/>
          <w:b/>
          <w:color w:val="000000"/>
        </w:rPr>
        <w:t>OBEC PUCOV</w:t>
      </w:r>
    </w:p>
    <w:p w14:paraId="00000003" w14:textId="77777777" w:rsidR="00010CEA" w:rsidRDefault="00C93EFA">
      <w:pPr>
        <w:pBdr>
          <w:top w:val="nil"/>
          <w:left w:val="nil"/>
          <w:bottom w:val="nil"/>
          <w:right w:val="nil"/>
          <w:between w:val="nil"/>
        </w:pBdr>
        <w:spacing w:line="276" w:lineRule="auto"/>
        <w:ind w:left="0" w:hanging="2"/>
        <w:jc w:val="center"/>
        <w:rPr>
          <w:rFonts w:ascii="Arial" w:eastAsia="Arial" w:hAnsi="Arial" w:cs="Arial"/>
          <w:color w:val="000000"/>
          <w:sz w:val="16"/>
          <w:szCs w:val="16"/>
        </w:rPr>
      </w:pPr>
      <w:r>
        <w:rPr>
          <w:rFonts w:ascii="Arial" w:eastAsia="Arial" w:hAnsi="Arial" w:cs="Arial"/>
          <w:b/>
          <w:color w:val="000000"/>
        </w:rPr>
        <w:t>Zastupitelstvo obce Pucov</w:t>
      </w:r>
    </w:p>
    <w:p w14:paraId="00000004" w14:textId="77777777" w:rsidR="00010CEA" w:rsidRDefault="00010CEA">
      <w:pPr>
        <w:pBdr>
          <w:top w:val="nil"/>
          <w:left w:val="nil"/>
          <w:bottom w:val="nil"/>
          <w:right w:val="nil"/>
          <w:between w:val="nil"/>
        </w:pBdr>
        <w:spacing w:line="276" w:lineRule="auto"/>
        <w:ind w:left="0" w:hanging="2"/>
        <w:jc w:val="center"/>
        <w:rPr>
          <w:rFonts w:ascii="Arial" w:eastAsia="Arial" w:hAnsi="Arial" w:cs="Arial"/>
          <w:color w:val="000000"/>
          <w:sz w:val="16"/>
          <w:szCs w:val="16"/>
        </w:rPr>
      </w:pPr>
    </w:p>
    <w:p w14:paraId="00000005" w14:textId="503749FC" w:rsidR="00010CEA" w:rsidRDefault="00C93EFA">
      <w:pPr>
        <w:pBdr>
          <w:top w:val="nil"/>
          <w:left w:val="nil"/>
          <w:bottom w:val="nil"/>
          <w:right w:val="nil"/>
          <w:between w:val="nil"/>
        </w:pBdr>
        <w:spacing w:line="276" w:lineRule="auto"/>
        <w:ind w:left="0" w:hanging="2"/>
        <w:jc w:val="center"/>
        <w:rPr>
          <w:rFonts w:ascii="Arial" w:eastAsia="Arial" w:hAnsi="Arial" w:cs="Arial"/>
          <w:color w:val="000000"/>
          <w:sz w:val="16"/>
          <w:szCs w:val="16"/>
        </w:rPr>
      </w:pPr>
      <w:r>
        <w:rPr>
          <w:rFonts w:ascii="Arial" w:eastAsia="Arial" w:hAnsi="Arial" w:cs="Arial"/>
          <w:b/>
          <w:color w:val="000000"/>
        </w:rPr>
        <w:t>Obecně závazná vyhláška obce Pucov,</w:t>
      </w:r>
    </w:p>
    <w:p w14:paraId="00000006" w14:textId="77777777" w:rsidR="00010CEA" w:rsidRDefault="00010CEA">
      <w:pPr>
        <w:pBdr>
          <w:top w:val="nil"/>
          <w:left w:val="nil"/>
          <w:bottom w:val="nil"/>
          <w:right w:val="nil"/>
          <w:between w:val="nil"/>
        </w:pBdr>
        <w:spacing w:line="276" w:lineRule="auto"/>
        <w:ind w:left="0" w:hanging="2"/>
        <w:rPr>
          <w:rFonts w:ascii="Arial" w:eastAsia="Arial" w:hAnsi="Arial" w:cs="Arial"/>
          <w:color w:val="000000"/>
          <w:sz w:val="16"/>
          <w:szCs w:val="16"/>
        </w:rPr>
      </w:pPr>
    </w:p>
    <w:p w14:paraId="00000007"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o stanovení obecního systému odpadového hospodářství </w:t>
      </w:r>
    </w:p>
    <w:p w14:paraId="00000008"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09" w14:textId="2296D336" w:rsidR="00010CEA" w:rsidRDefault="00C93E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Zastupitelstvo obce Pucov se na svém zasedání dne </w:t>
      </w:r>
      <w:r w:rsidR="00CC23C5">
        <w:rPr>
          <w:rFonts w:ascii="Arial" w:eastAsia="Arial" w:hAnsi="Arial" w:cs="Arial"/>
          <w:sz w:val="22"/>
          <w:szCs w:val="22"/>
        </w:rPr>
        <w:t>2. 12. 2024</w:t>
      </w:r>
      <w:r>
        <w:rPr>
          <w:rFonts w:ascii="Arial" w:eastAsia="Arial" w:hAnsi="Arial" w:cs="Arial"/>
          <w:color w:val="000000"/>
          <w:sz w:val="22"/>
          <w:szCs w:val="22"/>
        </w:rPr>
        <w:t xml:space="preserve"> usnesením č. </w:t>
      </w:r>
      <w:r w:rsidR="00CC23C5">
        <w:rPr>
          <w:rFonts w:ascii="Arial" w:eastAsia="Arial" w:hAnsi="Arial" w:cs="Arial"/>
          <w:sz w:val="22"/>
          <w:szCs w:val="22"/>
        </w:rPr>
        <w:t>58/24/Z09</w:t>
      </w:r>
      <w:r>
        <w:rPr>
          <w:rFonts w:ascii="Arial" w:eastAsia="Arial" w:hAnsi="Arial" w:cs="Arial"/>
          <w:color w:val="000000"/>
          <w:sz w:val="22"/>
          <w:szCs w:val="22"/>
        </w:rPr>
        <w:t xml:space="preserve"> usneslo vydat na základě § 59 odst. 4 zákona č. 541/2020 Sb., o odpadech (dále jen „zákon </w:t>
      </w:r>
      <w:r>
        <w:rPr>
          <w:rFonts w:ascii="Arial" w:eastAsia="Arial" w:hAnsi="Arial" w:cs="Arial"/>
          <w:color w:val="000000"/>
          <w:sz w:val="22"/>
          <w:szCs w:val="22"/>
        </w:rPr>
        <w:br/>
        <w:t xml:space="preserve">o odpadech“), a v souladu s § 10 písm. d) a § 84 odst. 2 písm. h) zákona č. 128/2000 Sb., </w:t>
      </w:r>
      <w:r>
        <w:rPr>
          <w:rFonts w:ascii="Arial" w:eastAsia="Arial" w:hAnsi="Arial" w:cs="Arial"/>
          <w:color w:val="000000"/>
          <w:sz w:val="22"/>
          <w:szCs w:val="22"/>
        </w:rPr>
        <w:br/>
        <w:t>o obcích (obecní zřízení), ve znění pozdějších předpisů, tuto obecně závaznou vyhlášku (dále jen „vyhláška“):</w:t>
      </w:r>
    </w:p>
    <w:p w14:paraId="0000000A" w14:textId="77777777" w:rsidR="00010CEA" w:rsidRDefault="00010CEA">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0B"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 1</w:t>
      </w:r>
    </w:p>
    <w:p w14:paraId="0000000C" w14:textId="77777777" w:rsidR="00010CEA" w:rsidRDefault="00C93EFA">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Úvodní ustanovení</w:t>
      </w:r>
    </w:p>
    <w:p w14:paraId="0000000D" w14:textId="77777777" w:rsidR="00010CEA" w:rsidRDefault="00010CEA">
      <w:pPr>
        <w:pBdr>
          <w:top w:val="nil"/>
          <w:left w:val="nil"/>
          <w:bottom w:val="nil"/>
          <w:right w:val="nil"/>
          <w:between w:val="nil"/>
        </w:pBdr>
        <w:tabs>
          <w:tab w:val="left" w:pos="567"/>
        </w:tabs>
        <w:spacing w:line="240" w:lineRule="auto"/>
        <w:ind w:left="0" w:hanging="2"/>
        <w:jc w:val="both"/>
        <w:rPr>
          <w:rFonts w:ascii="Arial" w:eastAsia="Arial" w:hAnsi="Arial" w:cs="Arial"/>
          <w:color w:val="000000"/>
          <w:sz w:val="22"/>
          <w:szCs w:val="22"/>
        </w:rPr>
      </w:pPr>
    </w:p>
    <w:p w14:paraId="0000000E" w14:textId="77777777" w:rsidR="00010CEA" w:rsidRDefault="00C93EFA">
      <w:pPr>
        <w:numPr>
          <w:ilvl w:val="0"/>
          <w:numId w:val="5"/>
        </w:numPr>
        <w:pBdr>
          <w:top w:val="nil"/>
          <w:left w:val="nil"/>
          <w:bottom w:val="nil"/>
          <w:right w:val="nil"/>
          <w:between w:val="nil"/>
        </w:pBdr>
        <w:tabs>
          <w:tab w:val="left" w:pos="0"/>
        </w:tabs>
        <w:spacing w:line="240" w:lineRule="auto"/>
        <w:ind w:left="0" w:hanging="2"/>
        <w:jc w:val="both"/>
        <w:rPr>
          <w:rFonts w:ascii="Arial" w:eastAsia="Arial" w:hAnsi="Arial" w:cs="Arial"/>
          <w:color w:val="FF0000"/>
          <w:sz w:val="22"/>
          <w:szCs w:val="22"/>
        </w:rPr>
      </w:pPr>
      <w:r>
        <w:rPr>
          <w:rFonts w:ascii="Arial" w:eastAsia="Arial" w:hAnsi="Arial" w:cs="Arial"/>
          <w:color w:val="000000"/>
          <w:sz w:val="22"/>
          <w:szCs w:val="22"/>
        </w:rPr>
        <w:t>Tato vyhláška stanovuje obecní systém odpadového hospodářství na území obce Pucov.</w:t>
      </w:r>
    </w:p>
    <w:p w14:paraId="0000000F" w14:textId="77777777" w:rsidR="00010CEA" w:rsidRDefault="00C93EFA">
      <w:pPr>
        <w:pBdr>
          <w:top w:val="nil"/>
          <w:left w:val="nil"/>
          <w:bottom w:val="nil"/>
          <w:right w:val="nil"/>
          <w:between w:val="nil"/>
        </w:pBdr>
        <w:tabs>
          <w:tab w:val="left" w:pos="567"/>
        </w:tabs>
        <w:spacing w:line="240" w:lineRule="auto"/>
        <w:ind w:left="0" w:hanging="2"/>
        <w:jc w:val="both"/>
        <w:rPr>
          <w:rFonts w:ascii="Arial" w:eastAsia="Arial" w:hAnsi="Arial" w:cs="Arial"/>
          <w:color w:val="FF0000"/>
          <w:sz w:val="22"/>
          <w:szCs w:val="22"/>
        </w:rPr>
      </w:pPr>
      <w:r>
        <w:rPr>
          <w:rFonts w:ascii="Arial" w:eastAsia="Arial" w:hAnsi="Arial" w:cs="Arial"/>
          <w:i/>
          <w:color w:val="00B0F0"/>
          <w:sz w:val="22"/>
          <w:szCs w:val="22"/>
        </w:rPr>
        <w:t xml:space="preserve"> </w:t>
      </w:r>
    </w:p>
    <w:p w14:paraId="00000010" w14:textId="77777777" w:rsidR="00010CEA" w:rsidRDefault="00C93EFA">
      <w:pPr>
        <w:numPr>
          <w:ilvl w:val="0"/>
          <w:numId w:val="5"/>
        </w:numPr>
        <w:pBdr>
          <w:top w:val="nil"/>
          <w:left w:val="nil"/>
          <w:bottom w:val="nil"/>
          <w:right w:val="nil"/>
          <w:between w:val="nil"/>
        </w:pBdr>
        <w:tabs>
          <w:tab w:val="left" w:pos="-142"/>
        </w:tabs>
        <w:spacing w:line="240" w:lineRule="auto"/>
        <w:ind w:left="0" w:hanging="2"/>
        <w:jc w:val="both"/>
        <w:rPr>
          <w:rFonts w:ascii="Arial" w:eastAsia="Arial" w:hAnsi="Arial" w:cs="Arial"/>
          <w:color w:val="000000"/>
          <w:sz w:val="22"/>
          <w:szCs w:val="22"/>
        </w:rPr>
      </w:pPr>
      <w:r>
        <w:rPr>
          <w:rFonts w:ascii="Arial" w:eastAsia="Arial" w:hAnsi="Arial" w:cs="Arial"/>
          <w:color w:val="FF0000"/>
          <w:sz w:val="22"/>
          <w:szCs w:val="22"/>
        </w:rPr>
        <w:t xml:space="preserve">  </w:t>
      </w:r>
      <w:r>
        <w:rPr>
          <w:rFonts w:ascii="Arial" w:eastAsia="Arial" w:hAnsi="Arial" w:cs="Arial"/>
          <w:color w:val="000000"/>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p w14:paraId="00000011" w14:textId="77777777" w:rsidR="00010CEA" w:rsidRDefault="00010CEA">
      <w:pPr>
        <w:pBdr>
          <w:top w:val="nil"/>
          <w:left w:val="nil"/>
          <w:bottom w:val="nil"/>
          <w:right w:val="nil"/>
          <w:between w:val="nil"/>
        </w:pBdr>
        <w:tabs>
          <w:tab w:val="left" w:pos="567"/>
        </w:tabs>
        <w:spacing w:line="240" w:lineRule="auto"/>
        <w:ind w:left="0" w:hanging="2"/>
        <w:jc w:val="both"/>
        <w:rPr>
          <w:rFonts w:ascii="Arial" w:eastAsia="Arial" w:hAnsi="Arial" w:cs="Arial"/>
          <w:color w:val="000000"/>
          <w:sz w:val="22"/>
          <w:szCs w:val="22"/>
        </w:rPr>
      </w:pPr>
    </w:p>
    <w:p w14:paraId="00000012" w14:textId="77777777" w:rsidR="00010CEA" w:rsidRDefault="00C93EFA">
      <w:pPr>
        <w:numPr>
          <w:ilvl w:val="0"/>
          <w:numId w:val="5"/>
        </w:numPr>
        <w:pBdr>
          <w:top w:val="nil"/>
          <w:left w:val="nil"/>
          <w:bottom w:val="nil"/>
          <w:right w:val="nil"/>
          <w:between w:val="nil"/>
        </w:pBdr>
        <w:tabs>
          <w:tab w:val="left" w:pos="-142"/>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V okamžiku, kdy osoba zapojená do obecního systému odloží movitou věc nebo odpad, </w:t>
      </w:r>
      <w:r>
        <w:rPr>
          <w:rFonts w:ascii="Arial" w:eastAsia="Arial" w:hAnsi="Arial" w:cs="Arial"/>
          <w:color w:val="000000"/>
          <w:sz w:val="22"/>
          <w:szCs w:val="22"/>
        </w:rPr>
        <w:br/>
        <w:t>s výjimkou výrobků s ukončenou životností, na místě obcí k tomuto účelu určeném, stává se obec vlastníkem této movité věci nebo odpadu</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w:t>
      </w:r>
    </w:p>
    <w:p w14:paraId="00000013" w14:textId="77777777" w:rsidR="00010CEA" w:rsidRDefault="00010CEA">
      <w:pPr>
        <w:pBdr>
          <w:top w:val="nil"/>
          <w:left w:val="nil"/>
          <w:bottom w:val="nil"/>
          <w:right w:val="nil"/>
          <w:between w:val="nil"/>
        </w:pBdr>
        <w:tabs>
          <w:tab w:val="left" w:pos="-142"/>
        </w:tabs>
        <w:spacing w:line="240" w:lineRule="auto"/>
        <w:ind w:left="0" w:hanging="2"/>
        <w:jc w:val="both"/>
        <w:rPr>
          <w:rFonts w:ascii="Arial" w:eastAsia="Arial" w:hAnsi="Arial" w:cs="Arial"/>
          <w:color w:val="000000"/>
          <w:sz w:val="22"/>
          <w:szCs w:val="22"/>
        </w:rPr>
      </w:pPr>
    </w:p>
    <w:p w14:paraId="00000014" w14:textId="77777777" w:rsidR="00010CEA" w:rsidRDefault="00C93EFA">
      <w:pPr>
        <w:numPr>
          <w:ilvl w:val="0"/>
          <w:numId w:val="5"/>
        </w:numPr>
        <w:pBdr>
          <w:top w:val="nil"/>
          <w:left w:val="nil"/>
          <w:bottom w:val="nil"/>
          <w:right w:val="nil"/>
          <w:between w:val="nil"/>
        </w:pBdr>
        <w:tabs>
          <w:tab w:val="left" w:pos="-142"/>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0000015" w14:textId="77777777" w:rsidR="00010CEA" w:rsidRDefault="00010CEA">
      <w:pPr>
        <w:pBdr>
          <w:top w:val="nil"/>
          <w:left w:val="nil"/>
          <w:bottom w:val="nil"/>
          <w:right w:val="nil"/>
          <w:between w:val="nil"/>
        </w:pBdr>
        <w:tabs>
          <w:tab w:val="left" w:pos="-142"/>
        </w:tabs>
        <w:spacing w:line="240" w:lineRule="auto"/>
        <w:ind w:left="0" w:hanging="2"/>
        <w:jc w:val="both"/>
        <w:rPr>
          <w:rFonts w:ascii="Arial" w:eastAsia="Arial" w:hAnsi="Arial" w:cs="Arial"/>
          <w:color w:val="000000"/>
          <w:sz w:val="22"/>
          <w:szCs w:val="22"/>
        </w:rPr>
      </w:pPr>
    </w:p>
    <w:p w14:paraId="00000016" w14:textId="77777777" w:rsidR="00010CEA" w:rsidRDefault="00010CEA">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17"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 2</w:t>
      </w:r>
    </w:p>
    <w:p w14:paraId="00000018"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Oddělené soustřeďování komunálního odpadu </w:t>
      </w:r>
    </w:p>
    <w:p w14:paraId="00000019" w14:textId="77777777" w:rsidR="00010CEA" w:rsidRDefault="00010CEA">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1A" w14:textId="77777777" w:rsidR="00010CEA" w:rsidRDefault="00C93EFA">
      <w:pPr>
        <w:numPr>
          <w:ilvl w:val="0"/>
          <w:numId w:val="2"/>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Osoby předávající komunální odpad na místa určená obcí jsou povinny odděleně soustřeďovat následující složky:</w:t>
      </w:r>
    </w:p>
    <w:p w14:paraId="0000001B"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1C" w14:textId="158CF712" w:rsidR="00010CEA" w:rsidRDefault="00CC23C5">
      <w:pPr>
        <w:numPr>
          <w:ilvl w:val="0"/>
          <w:numId w:val="8"/>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 xml:space="preserve"> </w:t>
      </w:r>
      <w:r w:rsidR="00C93EFA">
        <w:rPr>
          <w:rFonts w:ascii="Arial" w:eastAsia="Arial" w:hAnsi="Arial" w:cs="Arial"/>
          <w:i/>
          <w:color w:val="000000"/>
          <w:sz w:val="22"/>
          <w:szCs w:val="22"/>
        </w:rPr>
        <w:t>Biologické odpady,</w:t>
      </w:r>
    </w:p>
    <w:p w14:paraId="0000001D" w14:textId="44449174" w:rsidR="00010CEA" w:rsidRDefault="00CC23C5">
      <w:pPr>
        <w:numPr>
          <w:ilvl w:val="0"/>
          <w:numId w:val="8"/>
        </w:numPr>
        <w:pBdr>
          <w:top w:val="nil"/>
          <w:left w:val="nil"/>
          <w:bottom w:val="nil"/>
          <w:right w:val="nil"/>
          <w:between w:val="nil"/>
        </w:pBdr>
        <w:tabs>
          <w:tab w:val="left" w:pos="567"/>
        </w:tabs>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 xml:space="preserve">   </w:t>
      </w:r>
      <w:r w:rsidR="00C93EFA">
        <w:rPr>
          <w:rFonts w:ascii="Arial" w:eastAsia="Arial" w:hAnsi="Arial" w:cs="Arial"/>
          <w:i/>
          <w:color w:val="000000"/>
          <w:sz w:val="22"/>
          <w:szCs w:val="22"/>
        </w:rPr>
        <w:t>Papír,</w:t>
      </w:r>
    </w:p>
    <w:p w14:paraId="0000001E" w14:textId="7C50D692" w:rsidR="00010CEA" w:rsidRDefault="00CC23C5">
      <w:pPr>
        <w:numPr>
          <w:ilvl w:val="0"/>
          <w:numId w:val="8"/>
        </w:numPr>
        <w:pBdr>
          <w:top w:val="nil"/>
          <w:left w:val="nil"/>
          <w:bottom w:val="nil"/>
          <w:right w:val="nil"/>
          <w:between w:val="nil"/>
        </w:pBdr>
        <w:tabs>
          <w:tab w:val="left" w:pos="567"/>
        </w:tabs>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 xml:space="preserve">   </w:t>
      </w:r>
      <w:r w:rsidR="00C93EFA">
        <w:rPr>
          <w:rFonts w:ascii="Arial" w:eastAsia="Arial" w:hAnsi="Arial" w:cs="Arial"/>
          <w:i/>
          <w:color w:val="000000"/>
          <w:sz w:val="22"/>
          <w:szCs w:val="22"/>
        </w:rPr>
        <w:t>Plasty včetně PET lahví,</w:t>
      </w:r>
    </w:p>
    <w:p w14:paraId="0000001F" w14:textId="77777777" w:rsidR="00010CEA" w:rsidRDefault="00C93EFA">
      <w:pPr>
        <w:numPr>
          <w:ilvl w:val="0"/>
          <w:numId w:val="8"/>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Sklo,</w:t>
      </w:r>
    </w:p>
    <w:p w14:paraId="00000020" w14:textId="77777777" w:rsidR="00010CEA" w:rsidRDefault="00C93EFA">
      <w:pPr>
        <w:numPr>
          <w:ilvl w:val="0"/>
          <w:numId w:val="8"/>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Kovy,</w:t>
      </w:r>
    </w:p>
    <w:p w14:paraId="00000021" w14:textId="77777777" w:rsidR="00010CEA" w:rsidRDefault="00C93EFA">
      <w:pPr>
        <w:numPr>
          <w:ilvl w:val="0"/>
          <w:numId w:val="8"/>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Nebezpečné odpady,</w:t>
      </w:r>
    </w:p>
    <w:p w14:paraId="00000022" w14:textId="77777777" w:rsidR="00010CEA" w:rsidRDefault="00C93EFA">
      <w:pPr>
        <w:numPr>
          <w:ilvl w:val="0"/>
          <w:numId w:val="8"/>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Objemný odpad,</w:t>
      </w:r>
    </w:p>
    <w:p w14:paraId="00000023" w14:textId="77777777" w:rsidR="00010CEA" w:rsidRDefault="00C93EFA">
      <w:pPr>
        <w:numPr>
          <w:ilvl w:val="0"/>
          <w:numId w:val="8"/>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Jedlé oleje a tuky,</w:t>
      </w:r>
    </w:p>
    <w:p w14:paraId="00000024" w14:textId="77777777" w:rsidR="00010CEA" w:rsidRPr="00CC23C5" w:rsidRDefault="00C93EFA">
      <w:pPr>
        <w:numPr>
          <w:ilvl w:val="0"/>
          <w:numId w:val="8"/>
        </w:numPr>
        <w:pBdr>
          <w:top w:val="nil"/>
          <w:left w:val="nil"/>
          <w:bottom w:val="nil"/>
          <w:right w:val="nil"/>
          <w:between w:val="nil"/>
        </w:pBdr>
        <w:spacing w:line="240" w:lineRule="auto"/>
        <w:ind w:left="0" w:hanging="2"/>
        <w:jc w:val="both"/>
        <w:rPr>
          <w:rFonts w:ascii="Arial" w:eastAsia="Arial" w:hAnsi="Arial" w:cs="Arial"/>
          <w:i/>
          <w:sz w:val="22"/>
          <w:szCs w:val="22"/>
        </w:rPr>
      </w:pPr>
      <w:r w:rsidRPr="00CC23C5">
        <w:rPr>
          <w:rFonts w:ascii="Arial" w:eastAsia="Arial" w:hAnsi="Arial" w:cs="Arial"/>
          <w:i/>
          <w:sz w:val="22"/>
          <w:szCs w:val="22"/>
        </w:rPr>
        <w:lastRenderedPageBreak/>
        <w:t>Textil</w:t>
      </w:r>
    </w:p>
    <w:p w14:paraId="00000025" w14:textId="77777777" w:rsidR="00010CEA" w:rsidRDefault="00C93EFA">
      <w:pPr>
        <w:numPr>
          <w:ilvl w:val="0"/>
          <w:numId w:val="8"/>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Směsný komunální odpad</w:t>
      </w:r>
    </w:p>
    <w:p w14:paraId="00000026"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27" w14:textId="77777777" w:rsidR="00010CEA" w:rsidRDefault="00C93EFA">
      <w:pPr>
        <w:numPr>
          <w:ilvl w:val="0"/>
          <w:numId w:val="2"/>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Směsným komunálním odpadem se rozumí zbylý komunální odpad po stanoveném vytřídění podle odstavce 1 písm. a), b), c), d), e), f), g), h) </w:t>
      </w:r>
      <w:r w:rsidRPr="00CC23C5">
        <w:rPr>
          <w:rFonts w:ascii="Arial" w:eastAsia="Arial" w:hAnsi="Arial" w:cs="Arial"/>
          <w:color w:val="000000"/>
          <w:sz w:val="22"/>
          <w:szCs w:val="22"/>
        </w:rPr>
        <w:t>a i</w:t>
      </w:r>
      <w:r w:rsidRPr="00CC23C5">
        <w:rPr>
          <w:rFonts w:ascii="Arial" w:eastAsia="Arial" w:hAnsi="Arial" w:cs="Arial"/>
          <w:sz w:val="22"/>
          <w:szCs w:val="22"/>
        </w:rPr>
        <w:t>)</w:t>
      </w:r>
      <w:r w:rsidRPr="00CC23C5">
        <w:rPr>
          <w:rFonts w:ascii="Arial" w:eastAsia="Arial" w:hAnsi="Arial" w:cs="Arial"/>
          <w:color w:val="000000"/>
          <w:sz w:val="22"/>
          <w:szCs w:val="22"/>
        </w:rPr>
        <w:t>.</w:t>
      </w:r>
    </w:p>
    <w:p w14:paraId="00000028"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29" w14:textId="77777777" w:rsidR="00010CEA" w:rsidRDefault="00C93EFA">
      <w:pPr>
        <w:numPr>
          <w:ilvl w:val="0"/>
          <w:numId w:val="2"/>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Objemný odpad je takový odpad, který vzhledem ke svým rozměrům nemůže být umístěn do sběrných nádob.</w:t>
      </w:r>
    </w:p>
    <w:p w14:paraId="0000002A"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2B" w14:textId="77777777" w:rsidR="00010CEA" w:rsidRDefault="00010CEA">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2C"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 3</w:t>
      </w:r>
    </w:p>
    <w:p w14:paraId="0000002D" w14:textId="77777777" w:rsidR="00010CEA" w:rsidRDefault="00C93EFA">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Soustřeďování papíru, plastů, skla, kovů, biologického odpadu, jedlých olejů a tuků, textilu</w:t>
      </w:r>
    </w:p>
    <w:p w14:paraId="0000002E"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u w:val="single"/>
        </w:rPr>
      </w:pPr>
    </w:p>
    <w:p w14:paraId="0000002F" w14:textId="77777777" w:rsidR="00010CEA" w:rsidRDefault="00C93EFA">
      <w:pPr>
        <w:numPr>
          <w:ilvl w:val="0"/>
          <w:numId w:val="9"/>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Papír, plasty, sklo, kovy, biologické odpady, jedlé oleje a tuky, te</w:t>
      </w:r>
      <w:r>
        <w:rPr>
          <w:rFonts w:ascii="Arial" w:eastAsia="Arial" w:hAnsi="Arial" w:cs="Arial"/>
          <w:sz w:val="22"/>
          <w:szCs w:val="22"/>
        </w:rPr>
        <w:t>xtil</w:t>
      </w:r>
      <w:r>
        <w:rPr>
          <w:rFonts w:ascii="Arial" w:eastAsia="Arial" w:hAnsi="Arial" w:cs="Arial"/>
          <w:color w:val="000000"/>
          <w:sz w:val="22"/>
          <w:szCs w:val="22"/>
        </w:rPr>
        <w:t xml:space="preserve"> se soustřeďují do zvláštních sběrných nádob, kterými jsou kontejnery a popelnice</w:t>
      </w:r>
    </w:p>
    <w:p w14:paraId="00000030"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31" w14:textId="77777777" w:rsidR="00010CEA" w:rsidRDefault="00C93EFA">
      <w:pPr>
        <w:numPr>
          <w:ilvl w:val="0"/>
          <w:numId w:val="9"/>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Zvláštní sběrné nádoby jsou umístěny na těchto stanovištích: </w:t>
      </w:r>
    </w:p>
    <w:p w14:paraId="00000032" w14:textId="77777777" w:rsidR="00010CEA" w:rsidRDefault="00C93E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U „Zvoničky</w:t>
      </w:r>
    </w:p>
    <w:p w14:paraId="00000033" w14:textId="77777777" w:rsidR="00010CEA" w:rsidRDefault="00C93E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U domu č. p. 50</w:t>
      </w:r>
    </w:p>
    <w:p w14:paraId="00000034" w14:textId="77777777" w:rsidR="00010CEA" w:rsidRDefault="00C93E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U prodejny smíšeného zboží</w:t>
      </w:r>
    </w:p>
    <w:p w14:paraId="00000035"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36" w14:textId="77777777" w:rsidR="00010CEA" w:rsidRDefault="00C93EFA">
      <w:pPr>
        <w:numPr>
          <w:ilvl w:val="0"/>
          <w:numId w:val="9"/>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Zvláštní sběrné nádoby jsou barevně odlišeny a označeny příslušnými nápisy:</w:t>
      </w:r>
    </w:p>
    <w:p w14:paraId="00000037"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38" w14:textId="77777777" w:rsidR="00010CEA" w:rsidRDefault="00C93EFA">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Biologické odpady, barva hnědá,</w:t>
      </w:r>
    </w:p>
    <w:p w14:paraId="00000039" w14:textId="77777777" w:rsidR="00010CEA" w:rsidRDefault="00C93EFA">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Papír, barva modrá,</w:t>
      </w:r>
    </w:p>
    <w:p w14:paraId="0000003A" w14:textId="77777777" w:rsidR="00010CEA" w:rsidRDefault="00C93EFA">
      <w:pPr>
        <w:numPr>
          <w:ilvl w:val="0"/>
          <w:numId w:val="3"/>
        </w:num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i/>
          <w:color w:val="000000"/>
          <w:sz w:val="22"/>
          <w:szCs w:val="22"/>
        </w:rPr>
        <w:t>Plasty, PET lahve, barva žlutá</w:t>
      </w:r>
    </w:p>
    <w:p w14:paraId="0000003B" w14:textId="77777777" w:rsidR="00010CEA" w:rsidRDefault="00C93EFA">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Sklo čiré, barva bílá,</w:t>
      </w:r>
    </w:p>
    <w:p w14:paraId="0000003C" w14:textId="77777777" w:rsidR="00010CEA" w:rsidRDefault="00C93EFA">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Sklo barevné, barva zelená,</w:t>
      </w:r>
    </w:p>
    <w:p w14:paraId="0000003D" w14:textId="77777777" w:rsidR="00010CEA" w:rsidRDefault="00C93EFA">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 xml:space="preserve">Kovy, barva šedá, </w:t>
      </w:r>
    </w:p>
    <w:p w14:paraId="0000003E" w14:textId="77777777" w:rsidR="00010CEA" w:rsidRDefault="00C93EFA">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Jedlé oleje a tuky, barva černá,</w:t>
      </w:r>
    </w:p>
    <w:p w14:paraId="0000003F" w14:textId="0C9B1BCA" w:rsidR="00010CEA" w:rsidRDefault="00C93EFA">
      <w:pPr>
        <w:numPr>
          <w:ilvl w:val="0"/>
          <w:numId w:val="3"/>
        </w:numPr>
        <w:pBdr>
          <w:top w:val="nil"/>
          <w:left w:val="nil"/>
          <w:bottom w:val="nil"/>
          <w:right w:val="nil"/>
          <w:between w:val="nil"/>
        </w:pBdr>
        <w:spacing w:line="240" w:lineRule="auto"/>
        <w:ind w:left="0" w:hanging="2"/>
        <w:rPr>
          <w:rFonts w:ascii="Arial" w:eastAsia="Arial" w:hAnsi="Arial" w:cs="Arial"/>
          <w:i/>
          <w:sz w:val="22"/>
          <w:szCs w:val="22"/>
        </w:rPr>
      </w:pPr>
      <w:r>
        <w:rPr>
          <w:rFonts w:ascii="Arial" w:eastAsia="Arial" w:hAnsi="Arial" w:cs="Arial"/>
          <w:i/>
          <w:sz w:val="22"/>
          <w:szCs w:val="22"/>
        </w:rPr>
        <w:t>Textil</w:t>
      </w:r>
    </w:p>
    <w:p w14:paraId="00000040"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41" w14:textId="77777777" w:rsidR="00010CEA" w:rsidRDefault="00C93EFA">
      <w:pPr>
        <w:numPr>
          <w:ilvl w:val="0"/>
          <w:numId w:val="9"/>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Do zvláštních sběrných nádob je zakázáno ukládat jiné složky komunálních odpadů, než pro které jsou určeny.</w:t>
      </w:r>
    </w:p>
    <w:p w14:paraId="00000042"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43" w14:textId="77777777" w:rsidR="00010CEA" w:rsidRDefault="00C93EFA">
      <w:pPr>
        <w:numPr>
          <w:ilvl w:val="0"/>
          <w:numId w:val="9"/>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0000044"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rPr>
      </w:pPr>
    </w:p>
    <w:p w14:paraId="00000045" w14:textId="77777777" w:rsidR="00010CEA" w:rsidRDefault="00C93EFA">
      <w:pPr>
        <w:numPr>
          <w:ilvl w:val="0"/>
          <w:numId w:val="9"/>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Papír, plasty, sklo, kovy, </w:t>
      </w:r>
      <w:r w:rsidRPr="00CC23C5">
        <w:rPr>
          <w:rFonts w:ascii="Arial" w:eastAsia="Arial" w:hAnsi="Arial" w:cs="Arial"/>
          <w:color w:val="000000"/>
          <w:sz w:val="22"/>
          <w:szCs w:val="22"/>
        </w:rPr>
        <w:t>textil,</w:t>
      </w:r>
      <w:r>
        <w:rPr>
          <w:rFonts w:ascii="Arial" w:eastAsia="Arial" w:hAnsi="Arial" w:cs="Arial"/>
          <w:color w:val="000000"/>
          <w:sz w:val="22"/>
          <w:szCs w:val="22"/>
        </w:rPr>
        <w:t xml:space="preserve"> jedlé oleje a tuky a biologický odpad lze také odevzdávat ve sběrném dvoře, který je umístěn na ulici Ocmanická, Náměšť nad Oslavou (k odevzdání těchto složek odpadu je nutné předložit evidenční kartu, kterou si lze vyzvednout na Obecním úřadě Pucov)</w:t>
      </w:r>
    </w:p>
    <w:p w14:paraId="00000046"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rPr>
      </w:pPr>
    </w:p>
    <w:p w14:paraId="00000047" w14:textId="77777777" w:rsidR="00010CEA" w:rsidRDefault="00010CEA">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48" w14:textId="77777777" w:rsidR="00010CEA" w:rsidRDefault="00C93EFA">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 4</w:t>
      </w:r>
    </w:p>
    <w:p w14:paraId="00000049" w14:textId="77777777" w:rsidR="00010CEA" w:rsidRDefault="00C93EFA">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 Soustřeďování nebezpečných složek komunálního odpadu</w:t>
      </w:r>
    </w:p>
    <w:p w14:paraId="0000004A" w14:textId="77777777" w:rsidR="00010CEA" w:rsidRDefault="00C93E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w:t>
      </w:r>
    </w:p>
    <w:p w14:paraId="0000004B" w14:textId="77777777" w:rsidR="00010CEA" w:rsidRDefault="00C93EFA">
      <w:pPr>
        <w:numPr>
          <w:ilvl w:val="0"/>
          <w:numId w:val="1"/>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Nebezpečný odpad lze odevzdávat ve sběrném dvoře, který je umístěn na ulici Ocmanická, Náměšť nad Oslavou (k odevzdání nebezpečných složek odpadu je nutné předložit evidenční kartu, kterou si lze vyzvednout na Obecním úřadě Pucov).</w:t>
      </w:r>
    </w:p>
    <w:p w14:paraId="0000004C" w14:textId="77777777" w:rsidR="00010CEA" w:rsidRDefault="00010CEA">
      <w:pPr>
        <w:pBdr>
          <w:top w:val="nil"/>
          <w:left w:val="nil"/>
          <w:bottom w:val="nil"/>
          <w:right w:val="nil"/>
          <w:between w:val="nil"/>
        </w:pBdr>
        <w:spacing w:line="240" w:lineRule="auto"/>
        <w:ind w:left="0" w:hanging="2"/>
        <w:jc w:val="both"/>
        <w:rPr>
          <w:rFonts w:ascii="Arial" w:eastAsia="Arial" w:hAnsi="Arial" w:cs="Arial"/>
          <w:sz w:val="22"/>
          <w:szCs w:val="22"/>
        </w:rPr>
      </w:pPr>
    </w:p>
    <w:p w14:paraId="0000004D" w14:textId="77777777" w:rsidR="00010CEA" w:rsidRPr="00CC23C5" w:rsidRDefault="00C93EFA">
      <w:pPr>
        <w:numPr>
          <w:ilvl w:val="0"/>
          <w:numId w:val="1"/>
        </w:numPr>
        <w:pBdr>
          <w:top w:val="nil"/>
          <w:left w:val="nil"/>
          <w:bottom w:val="nil"/>
          <w:right w:val="nil"/>
          <w:between w:val="nil"/>
        </w:pBdr>
        <w:spacing w:line="240" w:lineRule="auto"/>
        <w:ind w:left="0" w:hanging="2"/>
        <w:jc w:val="both"/>
        <w:rPr>
          <w:rFonts w:ascii="Arial" w:eastAsia="Arial" w:hAnsi="Arial" w:cs="Arial"/>
          <w:sz w:val="22"/>
          <w:szCs w:val="22"/>
        </w:rPr>
      </w:pPr>
      <w:r w:rsidRPr="00CC23C5">
        <w:rPr>
          <w:rFonts w:ascii="Arial" w:eastAsia="Arial" w:hAnsi="Arial" w:cs="Arial"/>
          <w:sz w:val="22"/>
          <w:szCs w:val="22"/>
        </w:rPr>
        <w:t xml:space="preserve">Nebezpečný odpad lze odevzdávat v rámci mobilního svozu nebezpečných odpadů přímo na návsi pracovníkům svozové firmy ESKO-T ve stanoveném termínu, o kterém jsou občané předem informováni. </w:t>
      </w:r>
    </w:p>
    <w:p w14:paraId="0000004E"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4F" w14:textId="77777777" w:rsidR="00010CEA" w:rsidRDefault="00C93EFA">
      <w:pPr>
        <w:numPr>
          <w:ilvl w:val="0"/>
          <w:numId w:val="1"/>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Soustřeďování nebezpečných složek komunálního odpadu podléhá požadavkům stanoveným v čl. 3 odst. 4 a 5.</w:t>
      </w:r>
    </w:p>
    <w:p w14:paraId="00000050"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51"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52"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 5</w:t>
      </w:r>
    </w:p>
    <w:p w14:paraId="00000053"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 Soustřeďování objemného odpadu</w:t>
      </w:r>
    </w:p>
    <w:p w14:paraId="00000054" w14:textId="77777777" w:rsidR="00010CEA" w:rsidRDefault="00C93E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w:t>
      </w:r>
    </w:p>
    <w:p w14:paraId="00000055" w14:textId="77777777" w:rsidR="00010CEA" w:rsidRDefault="00C93EFA">
      <w:pPr>
        <w:numPr>
          <w:ilvl w:val="0"/>
          <w:numId w:val="10"/>
        </w:numPr>
        <w:pBdr>
          <w:top w:val="nil"/>
          <w:left w:val="nil"/>
          <w:bottom w:val="nil"/>
          <w:right w:val="nil"/>
          <w:between w:val="nil"/>
        </w:pBdr>
        <w:spacing w:line="240" w:lineRule="auto"/>
        <w:ind w:left="0" w:hanging="2"/>
        <w:jc w:val="both"/>
        <w:rPr>
          <w:rFonts w:ascii="Arial" w:eastAsia="Arial" w:hAnsi="Arial" w:cs="Arial"/>
          <w:color w:val="00B0F0"/>
          <w:sz w:val="22"/>
          <w:szCs w:val="22"/>
        </w:rPr>
      </w:pPr>
      <w:r>
        <w:rPr>
          <w:rFonts w:ascii="Arial" w:eastAsia="Arial" w:hAnsi="Arial" w:cs="Arial"/>
          <w:color w:val="000000"/>
          <w:sz w:val="22"/>
          <w:szCs w:val="22"/>
        </w:rPr>
        <w:t xml:space="preserve">Objemný odpad lze také odevzdávat ve sběrném dvoře, který je umístěn na ulici Ocmanická, Náměšť nad Oslavou (k odevzdání objemného odpadu je nutné předložit evidenční kartu, kterou si lze vyzvednout na Obecním úřadě Pucov). </w:t>
      </w:r>
    </w:p>
    <w:p w14:paraId="00000056"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57" w14:textId="77777777" w:rsidR="00010CEA" w:rsidRDefault="00C93EFA">
      <w:pPr>
        <w:numPr>
          <w:ilvl w:val="0"/>
          <w:numId w:val="10"/>
        </w:numPr>
        <w:pBdr>
          <w:top w:val="nil"/>
          <w:left w:val="nil"/>
          <w:bottom w:val="nil"/>
          <w:right w:val="nil"/>
          <w:between w:val="nil"/>
        </w:pBdr>
        <w:tabs>
          <w:tab w:val="left" w:pos="567"/>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Soustřeďování objemného odpadu podléhá požadavkům stanoveným v čl. 3 odst. 4</w:t>
      </w:r>
      <w:r>
        <w:rPr>
          <w:rFonts w:ascii="Arial" w:eastAsia="Arial" w:hAnsi="Arial" w:cs="Arial"/>
          <w:sz w:val="22"/>
          <w:szCs w:val="22"/>
        </w:rPr>
        <w:t>,5</w:t>
      </w:r>
    </w:p>
    <w:p w14:paraId="00000058"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59"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5A"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 6</w:t>
      </w:r>
    </w:p>
    <w:p w14:paraId="0000005B"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Soustřeďování směsného komunálního odpadu </w:t>
      </w:r>
    </w:p>
    <w:p w14:paraId="0000005C" w14:textId="77777777" w:rsidR="00010CEA" w:rsidRDefault="00010CEA">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00005D" w14:textId="77777777" w:rsidR="00010CEA" w:rsidRDefault="00C93EFA">
      <w:pPr>
        <w:widowControl w:val="0"/>
        <w:numPr>
          <w:ilvl w:val="0"/>
          <w:numId w:val="6"/>
        </w:numPr>
        <w:pBdr>
          <w:top w:val="nil"/>
          <w:left w:val="nil"/>
          <w:bottom w:val="nil"/>
          <w:right w:val="nil"/>
          <w:between w:val="nil"/>
        </w:pBdr>
        <w:spacing w:line="240" w:lineRule="auto"/>
        <w:ind w:left="0" w:hanging="2"/>
        <w:jc w:val="both"/>
        <w:rPr>
          <w:rFonts w:ascii="Arial" w:eastAsia="Arial" w:hAnsi="Arial" w:cs="Arial"/>
          <w:color w:val="00B0F0"/>
          <w:sz w:val="22"/>
          <w:szCs w:val="22"/>
        </w:rPr>
      </w:pPr>
      <w:r>
        <w:rPr>
          <w:rFonts w:ascii="Arial" w:eastAsia="Arial" w:hAnsi="Arial" w:cs="Arial"/>
          <w:color w:val="000000"/>
          <w:sz w:val="22"/>
          <w:szCs w:val="22"/>
        </w:rPr>
        <w:t>Směsný komunální odpad se odkládá do sběrných nádob. Pro účely této vyhlášky se sběrnými nádobami rozumějí</w:t>
      </w:r>
      <w:r>
        <w:rPr>
          <w:rFonts w:ascii="Arial" w:eastAsia="Arial" w:hAnsi="Arial" w:cs="Arial"/>
          <w:color w:val="00B0F0"/>
          <w:sz w:val="22"/>
          <w:szCs w:val="22"/>
        </w:rPr>
        <w:t>:</w:t>
      </w:r>
      <w:r>
        <w:rPr>
          <w:rFonts w:ascii="Arial" w:eastAsia="Arial" w:hAnsi="Arial" w:cs="Arial"/>
          <w:i/>
          <w:color w:val="00B0F0"/>
          <w:sz w:val="22"/>
          <w:szCs w:val="22"/>
        </w:rPr>
        <w:t xml:space="preserve"> </w:t>
      </w:r>
      <w:r>
        <w:rPr>
          <w:rFonts w:ascii="Arial" w:eastAsia="Arial" w:hAnsi="Arial" w:cs="Arial"/>
          <w:i/>
          <w:color w:val="00B0F0"/>
          <w:sz w:val="22"/>
          <w:szCs w:val="22"/>
          <w:u w:val="single"/>
        </w:rPr>
        <w:t xml:space="preserve"> </w:t>
      </w:r>
    </w:p>
    <w:p w14:paraId="0000005E" w14:textId="77777777" w:rsidR="00010CEA" w:rsidRDefault="00C93EFA">
      <w:pPr>
        <w:numPr>
          <w:ilvl w:val="0"/>
          <w:numId w:val="4"/>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popelnice</w:t>
      </w:r>
    </w:p>
    <w:p w14:paraId="0000005F" w14:textId="77777777" w:rsidR="00010CEA" w:rsidRDefault="00C93EFA">
      <w:pPr>
        <w:numPr>
          <w:ilvl w:val="0"/>
          <w:numId w:val="4"/>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odpadkové koše,</w:t>
      </w:r>
      <w:r>
        <w:rPr>
          <w:rFonts w:ascii="Arial" w:eastAsia="Arial" w:hAnsi="Arial" w:cs="Arial"/>
          <w:color w:val="000000"/>
          <w:sz w:val="22"/>
          <w:szCs w:val="22"/>
        </w:rPr>
        <w:t xml:space="preserve"> </w:t>
      </w:r>
      <w:r>
        <w:rPr>
          <w:rFonts w:ascii="Arial" w:eastAsia="Arial" w:hAnsi="Arial" w:cs="Arial"/>
          <w:i/>
          <w:color w:val="000000"/>
          <w:sz w:val="22"/>
          <w:szCs w:val="22"/>
        </w:rPr>
        <w:t>které jsou umístěny na veřejných prostranstvích v obci, sloužící pro odkládání drobného směsného komunálního odpadu</w:t>
      </w:r>
    </w:p>
    <w:p w14:paraId="00000060" w14:textId="03810B6F" w:rsidR="00010CEA" w:rsidRDefault="00C93EFA">
      <w:pPr>
        <w:numPr>
          <w:ilvl w:val="0"/>
          <w:numId w:val="4"/>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kontejner</w:t>
      </w:r>
      <w:r w:rsidR="00014D68">
        <w:rPr>
          <w:rFonts w:ascii="Arial" w:eastAsia="Arial" w:hAnsi="Arial" w:cs="Arial"/>
          <w:i/>
          <w:color w:val="000000"/>
          <w:sz w:val="22"/>
          <w:szCs w:val="22"/>
        </w:rPr>
        <w:t>y</w:t>
      </w:r>
      <w:r>
        <w:rPr>
          <w:rFonts w:ascii="Arial" w:eastAsia="Arial" w:hAnsi="Arial" w:cs="Arial"/>
          <w:i/>
          <w:color w:val="000000"/>
          <w:sz w:val="22"/>
          <w:szCs w:val="22"/>
        </w:rPr>
        <w:t xml:space="preserve"> u domu č. p. </w:t>
      </w:r>
      <w:r w:rsidR="00014D68" w:rsidRPr="00BB2F4A">
        <w:rPr>
          <w:rFonts w:ascii="Arial" w:eastAsia="Arial" w:hAnsi="Arial" w:cs="Arial"/>
          <w:i/>
          <w:color w:val="000000"/>
          <w:sz w:val="22"/>
          <w:szCs w:val="22"/>
        </w:rPr>
        <w:t>60</w:t>
      </w:r>
      <w:r>
        <w:rPr>
          <w:rFonts w:ascii="Arial" w:eastAsia="Arial" w:hAnsi="Arial" w:cs="Arial"/>
          <w:i/>
          <w:color w:val="000000"/>
          <w:sz w:val="22"/>
          <w:szCs w:val="22"/>
        </w:rPr>
        <w:t xml:space="preserve"> pro chatovou osadu Bělizna</w:t>
      </w:r>
    </w:p>
    <w:p w14:paraId="00000061"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62" w14:textId="77777777" w:rsidR="00010CEA" w:rsidRDefault="00C93EFA">
      <w:pPr>
        <w:numPr>
          <w:ilvl w:val="0"/>
          <w:numId w:val="6"/>
        </w:numPr>
        <w:pBdr>
          <w:top w:val="nil"/>
          <w:left w:val="nil"/>
          <w:bottom w:val="nil"/>
          <w:right w:val="nil"/>
          <w:between w:val="nil"/>
        </w:pBdr>
        <w:spacing w:line="240" w:lineRule="auto"/>
        <w:ind w:left="0" w:hanging="2"/>
        <w:jc w:val="both"/>
        <w:rPr>
          <w:rFonts w:ascii="Arial" w:eastAsia="Arial" w:hAnsi="Arial" w:cs="Arial"/>
          <w:color w:val="00B0F0"/>
          <w:sz w:val="22"/>
          <w:szCs w:val="22"/>
        </w:rPr>
      </w:pPr>
      <w:r>
        <w:rPr>
          <w:rFonts w:ascii="Arial" w:eastAsia="Arial" w:hAnsi="Arial" w:cs="Arial"/>
          <w:color w:val="000000"/>
          <w:sz w:val="22"/>
          <w:szCs w:val="22"/>
        </w:rPr>
        <w:t xml:space="preserve">Soustřeďování směsného komunálního odpadu podléhá požadavkům stanoveným </w:t>
      </w:r>
      <w:r>
        <w:rPr>
          <w:rFonts w:ascii="Arial" w:eastAsia="Arial" w:hAnsi="Arial" w:cs="Arial"/>
          <w:color w:val="000000"/>
          <w:sz w:val="22"/>
          <w:szCs w:val="22"/>
        </w:rPr>
        <w:br/>
        <w:t xml:space="preserve">v čl. 3 odst. 4 a 5. </w:t>
      </w:r>
    </w:p>
    <w:p w14:paraId="00000063"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14:paraId="00000064" w14:textId="77777777" w:rsidR="00010CEA" w:rsidRDefault="00C93E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w:t>
      </w:r>
    </w:p>
    <w:p w14:paraId="00000065"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 7</w:t>
      </w:r>
    </w:p>
    <w:p w14:paraId="00000066"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Nakládání se stavebním a demoličním odpadem</w:t>
      </w:r>
    </w:p>
    <w:p w14:paraId="00000067" w14:textId="77777777" w:rsidR="00010CEA" w:rsidRDefault="00C93EFA">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i/>
          <w:color w:val="00B0F0"/>
          <w:sz w:val="22"/>
          <w:szCs w:val="22"/>
          <w:u w:val="single"/>
        </w:rPr>
        <w:t xml:space="preserve"> </w:t>
      </w:r>
    </w:p>
    <w:p w14:paraId="00000068" w14:textId="77777777" w:rsidR="00010CEA" w:rsidRDefault="00C93EFA">
      <w:pPr>
        <w:numPr>
          <w:ilvl w:val="0"/>
          <w:numId w:val="7"/>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Stavebním odpadem a demoličním odpadem se rozumí odpad vznikající při stavebních </w:t>
      </w:r>
      <w:r>
        <w:rPr>
          <w:rFonts w:ascii="Arial" w:eastAsia="Arial" w:hAnsi="Arial" w:cs="Arial"/>
          <w:color w:val="000000"/>
          <w:sz w:val="22"/>
          <w:szCs w:val="22"/>
        </w:rPr>
        <w:br/>
        <w:t>a demoličních činnostech nepodnikajících fyzických osob. Stavební a demoliční odpad není odpadem komunálním.</w:t>
      </w:r>
    </w:p>
    <w:p w14:paraId="00000069"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6A" w14:textId="77777777" w:rsidR="00010CEA" w:rsidRDefault="00C93EFA">
      <w:pPr>
        <w:numPr>
          <w:ilvl w:val="0"/>
          <w:numId w:val="7"/>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Stavební a demoliční odpad lze předávat na Sběrném dvoře, ulice Ocmanická, Náměšť nad Oslavou (k předání stavebního a demoličního odpadu je nutné předložit evidenční kartu, kterou si lze vyzvednout na Obecním úřadě Pucov).</w:t>
      </w:r>
      <w:r>
        <w:rPr>
          <w:rFonts w:ascii="Arial" w:eastAsia="Arial" w:hAnsi="Arial" w:cs="Arial"/>
          <w:i/>
          <w:color w:val="00B0F0"/>
          <w:sz w:val="22"/>
          <w:szCs w:val="22"/>
        </w:rPr>
        <w:t xml:space="preserve"> </w:t>
      </w:r>
    </w:p>
    <w:p w14:paraId="0000006B"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6C"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6D"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Čl. 8</w:t>
      </w:r>
    </w:p>
    <w:p w14:paraId="0000006E" w14:textId="77777777" w:rsidR="00010CEA" w:rsidRDefault="00C93EFA">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Závěrečná ustanovení</w:t>
      </w:r>
    </w:p>
    <w:p w14:paraId="0000006F" w14:textId="77777777" w:rsidR="00010CEA" w:rsidRDefault="00010CEA">
      <w:pPr>
        <w:pBdr>
          <w:top w:val="nil"/>
          <w:left w:val="nil"/>
          <w:bottom w:val="nil"/>
          <w:right w:val="nil"/>
          <w:between w:val="nil"/>
        </w:pBdr>
        <w:spacing w:line="240" w:lineRule="auto"/>
        <w:ind w:left="0" w:hanging="2"/>
        <w:jc w:val="center"/>
        <w:rPr>
          <w:rFonts w:ascii="Arial" w:eastAsia="Arial" w:hAnsi="Arial" w:cs="Arial"/>
          <w:color w:val="000000"/>
          <w:sz w:val="22"/>
          <w:szCs w:val="22"/>
          <w:u w:val="single"/>
        </w:rPr>
      </w:pPr>
    </w:p>
    <w:p w14:paraId="00000070" w14:textId="77777777" w:rsidR="00010CEA" w:rsidRDefault="00C93EFA">
      <w:pPr>
        <w:numPr>
          <w:ilvl w:val="0"/>
          <w:numId w:val="1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Nabytím účinnosti této vyhlášky se zrušuje obecně závazná vyhláška obce Pucov č.</w:t>
      </w:r>
      <w:r>
        <w:rPr>
          <w:rFonts w:ascii="Arial" w:eastAsia="Arial" w:hAnsi="Arial" w:cs="Arial"/>
          <w:sz w:val="22"/>
          <w:szCs w:val="22"/>
        </w:rPr>
        <w:t>2/2021</w:t>
      </w:r>
      <w:r>
        <w:rPr>
          <w:rFonts w:ascii="Arial" w:eastAsia="Arial" w:hAnsi="Arial" w:cs="Arial"/>
          <w:color w:val="000000"/>
          <w:sz w:val="22"/>
          <w:szCs w:val="22"/>
        </w:rPr>
        <w:t xml:space="preserve">, o stanovení systému shromažďování, sběru, přepravy, třídění, využívání a odstraňování komunálních odpadů a nakládání se stavebním odpadem. </w:t>
      </w:r>
    </w:p>
    <w:p w14:paraId="00000071"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72"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73" w14:textId="77777777" w:rsidR="00010CEA" w:rsidRDefault="00C93EFA">
      <w:pPr>
        <w:numPr>
          <w:ilvl w:val="0"/>
          <w:numId w:val="11"/>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Tato vyhláška nabývá účinnosti dnem 1. 1. 202</w:t>
      </w:r>
      <w:r>
        <w:rPr>
          <w:rFonts w:ascii="Arial" w:eastAsia="Arial" w:hAnsi="Arial" w:cs="Arial"/>
          <w:sz w:val="22"/>
          <w:szCs w:val="22"/>
        </w:rPr>
        <w:t>5</w:t>
      </w:r>
      <w:r>
        <w:rPr>
          <w:rFonts w:ascii="Arial" w:eastAsia="Arial" w:hAnsi="Arial" w:cs="Arial"/>
          <w:color w:val="000000"/>
          <w:sz w:val="22"/>
          <w:szCs w:val="22"/>
        </w:rPr>
        <w:t>.</w:t>
      </w:r>
    </w:p>
    <w:p w14:paraId="00000074"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75"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76"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77" w14:textId="77777777" w:rsidR="00010CEA" w:rsidRDefault="00010CEA">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78"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79"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7A"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7B"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7C" w14:textId="77777777" w:rsidR="00010CEA" w:rsidRDefault="00C93EFA">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ab/>
      </w:r>
      <w:r>
        <w:rPr>
          <w:rFonts w:ascii="Arial" w:eastAsia="Arial" w:hAnsi="Arial" w:cs="Arial"/>
          <w:i/>
          <w:color w:val="000000"/>
          <w:sz w:val="22"/>
          <w:szCs w:val="22"/>
        </w:rPr>
        <w:tab/>
      </w:r>
      <w:r>
        <w:rPr>
          <w:rFonts w:ascii="Arial" w:eastAsia="Arial" w:hAnsi="Arial" w:cs="Arial"/>
          <w:i/>
          <w:color w:val="000000"/>
          <w:sz w:val="22"/>
          <w:szCs w:val="22"/>
        </w:rPr>
        <w:tab/>
      </w:r>
      <w:r>
        <w:rPr>
          <w:rFonts w:ascii="Arial" w:eastAsia="Arial" w:hAnsi="Arial" w:cs="Arial"/>
          <w:i/>
          <w:color w:val="000000"/>
          <w:sz w:val="22"/>
          <w:szCs w:val="22"/>
        </w:rPr>
        <w:tab/>
      </w:r>
      <w:r>
        <w:rPr>
          <w:rFonts w:ascii="Arial" w:eastAsia="Arial" w:hAnsi="Arial" w:cs="Arial"/>
          <w:i/>
          <w:color w:val="000000"/>
          <w:sz w:val="22"/>
          <w:szCs w:val="22"/>
        </w:rPr>
        <w:tab/>
      </w:r>
      <w:r>
        <w:rPr>
          <w:rFonts w:ascii="Arial" w:eastAsia="Arial" w:hAnsi="Arial" w:cs="Arial"/>
          <w:i/>
          <w:color w:val="000000"/>
          <w:sz w:val="22"/>
          <w:szCs w:val="22"/>
        </w:rPr>
        <w:tab/>
      </w:r>
      <w:r>
        <w:rPr>
          <w:rFonts w:ascii="Arial" w:eastAsia="Arial" w:hAnsi="Arial" w:cs="Arial"/>
          <w:i/>
          <w:color w:val="000000"/>
          <w:sz w:val="22"/>
          <w:szCs w:val="22"/>
        </w:rPr>
        <w:tab/>
      </w:r>
      <w:r>
        <w:rPr>
          <w:rFonts w:ascii="Arial" w:eastAsia="Arial" w:hAnsi="Arial" w:cs="Arial"/>
          <w:i/>
          <w:color w:val="000000"/>
          <w:sz w:val="22"/>
          <w:szCs w:val="22"/>
        </w:rPr>
        <w:tab/>
      </w:r>
    </w:p>
    <w:p w14:paraId="0000007D" w14:textId="77777777" w:rsidR="00010CEA" w:rsidRDefault="00C93EFA">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0000007E" w14:textId="77777777" w:rsidR="00010CEA" w:rsidRDefault="00C93EFA">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sz w:val="22"/>
          <w:szCs w:val="22"/>
        </w:rPr>
        <w:t>Petr Pavlíček</w:t>
      </w:r>
      <w:r>
        <w:rPr>
          <w:rFonts w:ascii="Arial" w:eastAsia="Arial" w:hAnsi="Arial" w:cs="Arial"/>
          <w:i/>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MgA. Galina Brožková</w:t>
      </w:r>
    </w:p>
    <w:p w14:paraId="0000007F" w14:textId="77777777" w:rsidR="00010CEA" w:rsidRDefault="00C93EFA">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místostarosta</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starosta</w:t>
      </w:r>
    </w:p>
    <w:p w14:paraId="00000080"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81"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82"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83" w14:textId="49020B7B" w:rsidR="00010CEA" w:rsidRDefault="00C93EFA">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Vyvěšeno na úřední desce obecního úřadu dne: </w:t>
      </w:r>
      <w:r w:rsidR="00697249">
        <w:rPr>
          <w:rFonts w:ascii="Arial" w:eastAsia="Arial" w:hAnsi="Arial" w:cs="Arial"/>
          <w:color w:val="000000"/>
          <w:sz w:val="22"/>
          <w:szCs w:val="22"/>
        </w:rPr>
        <w:t>4. 12. 2024</w:t>
      </w:r>
      <w:bookmarkStart w:id="0" w:name="_GoBack"/>
      <w:bookmarkEnd w:id="0"/>
    </w:p>
    <w:p w14:paraId="00000084" w14:textId="77777777" w:rsidR="00010CEA" w:rsidRDefault="00010CEA">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85" w14:textId="77777777" w:rsidR="00010CEA" w:rsidRDefault="00C93EFA">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Sejmuto z úřední desky obecního úřadu dne: ………………………</w:t>
      </w:r>
    </w:p>
    <w:sectPr w:rsidR="00010CEA">
      <w:footerReference w:type="default" r:id="rId8"/>
      <w:pgSz w:w="11906" w:h="16838"/>
      <w:pgMar w:top="1418" w:right="1418" w:bottom="1985"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07FCA" w14:textId="77777777" w:rsidR="00850C79" w:rsidRDefault="00850C79">
      <w:pPr>
        <w:spacing w:line="240" w:lineRule="auto"/>
        <w:ind w:left="0" w:hanging="2"/>
      </w:pPr>
      <w:r>
        <w:separator/>
      </w:r>
    </w:p>
  </w:endnote>
  <w:endnote w:type="continuationSeparator" w:id="0">
    <w:p w14:paraId="6266EFAB" w14:textId="77777777" w:rsidR="00850C79" w:rsidRDefault="00850C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8" w14:textId="77777777" w:rsidR="00010CEA" w:rsidRDefault="00C93EFA">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97249">
      <w:rPr>
        <w:noProof/>
        <w:color w:val="000000"/>
      </w:rPr>
      <w:t>4</w:t>
    </w:r>
    <w:r>
      <w:rPr>
        <w:color w:val="000000"/>
      </w:rPr>
      <w:fldChar w:fldCharType="end"/>
    </w:r>
  </w:p>
  <w:p w14:paraId="00000089" w14:textId="77777777" w:rsidR="00010CEA" w:rsidRDefault="00010CEA">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0007D" w14:textId="77777777" w:rsidR="00850C79" w:rsidRDefault="00850C79">
      <w:pPr>
        <w:spacing w:line="240" w:lineRule="auto"/>
        <w:ind w:left="0" w:hanging="2"/>
      </w:pPr>
      <w:r>
        <w:separator/>
      </w:r>
    </w:p>
  </w:footnote>
  <w:footnote w:type="continuationSeparator" w:id="0">
    <w:p w14:paraId="565A6395" w14:textId="77777777" w:rsidR="00850C79" w:rsidRDefault="00850C79">
      <w:pPr>
        <w:spacing w:line="240" w:lineRule="auto"/>
        <w:ind w:left="0" w:hanging="2"/>
      </w:pPr>
      <w:r>
        <w:continuationSeparator/>
      </w:r>
    </w:p>
  </w:footnote>
  <w:footnote w:id="1">
    <w:p w14:paraId="00000086" w14:textId="77777777" w:rsidR="00010CEA" w:rsidRDefault="00C93EFA">
      <w:pPr>
        <w:pBdr>
          <w:top w:val="nil"/>
          <w:left w:val="nil"/>
          <w:bottom w:val="nil"/>
          <w:right w:val="nil"/>
          <w:between w:val="nil"/>
        </w:pBdr>
        <w:spacing w:line="240" w:lineRule="auto"/>
        <w:ind w:left="0" w:hanging="2"/>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 61 zákona o odpadech</w:t>
      </w:r>
    </w:p>
  </w:footnote>
  <w:footnote w:id="2">
    <w:p w14:paraId="00000087" w14:textId="77777777" w:rsidR="00010CEA" w:rsidRDefault="00C93EFA">
      <w:pPr>
        <w:pBdr>
          <w:top w:val="nil"/>
          <w:left w:val="nil"/>
          <w:bottom w:val="nil"/>
          <w:right w:val="nil"/>
          <w:between w:val="nil"/>
        </w:pBdr>
        <w:spacing w:line="240" w:lineRule="auto"/>
        <w:ind w:left="0" w:hanging="2"/>
        <w:rPr>
          <w:color w:val="000000"/>
          <w:sz w:val="20"/>
          <w:szCs w:val="20"/>
        </w:rPr>
      </w:pPr>
      <w:r>
        <w:rPr>
          <w:vertAlign w:val="superscript"/>
        </w:rPr>
        <w:footnoteRef/>
      </w:r>
      <w:r>
        <w:rPr>
          <w:rFonts w:ascii="Arial" w:eastAsia="Arial" w:hAnsi="Arial" w:cs="Arial"/>
          <w:color w:val="000000"/>
          <w:sz w:val="20"/>
          <w:szCs w:val="20"/>
        </w:rPr>
        <w:t xml:space="preserve"> § 60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9E3"/>
    <w:multiLevelType w:val="multilevel"/>
    <w:tmpl w:val="B170A280"/>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4D41AF"/>
    <w:multiLevelType w:val="multilevel"/>
    <w:tmpl w:val="545A95D6"/>
    <w:lvl w:ilvl="0">
      <w:start w:val="1"/>
      <w:numFmt w:val="decimal"/>
      <w:lvlText w:val="%1)"/>
      <w:lvlJc w:val="left"/>
      <w:pPr>
        <w:ind w:left="360" w:hanging="360"/>
      </w:pPr>
      <w:rPr>
        <w:b w:val="0"/>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6FF63BD"/>
    <w:multiLevelType w:val="multilevel"/>
    <w:tmpl w:val="2E7A557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268D2C92"/>
    <w:multiLevelType w:val="multilevel"/>
    <w:tmpl w:val="126AC756"/>
    <w:lvl w:ilvl="0">
      <w:start w:val="1"/>
      <w:numFmt w:val="decimal"/>
      <w:lvlText w:val="%1)"/>
      <w:lvlJc w:val="left"/>
      <w:pPr>
        <w:ind w:left="720" w:hanging="360"/>
      </w:pPr>
      <w:rPr>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B7D2708"/>
    <w:multiLevelType w:val="multilevel"/>
    <w:tmpl w:val="471EAB62"/>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347B23A5"/>
    <w:multiLevelType w:val="multilevel"/>
    <w:tmpl w:val="4720E6E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3AA34D98"/>
    <w:multiLevelType w:val="multilevel"/>
    <w:tmpl w:val="14C40C4C"/>
    <w:lvl w:ilvl="0">
      <w:start w:val="1"/>
      <w:numFmt w:val="lowerLetter"/>
      <w:lvlText w:val="%1)"/>
      <w:lvlJc w:val="left"/>
      <w:pPr>
        <w:ind w:left="786" w:hanging="360"/>
      </w:pPr>
      <w:rPr>
        <w:color w:val="00000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7" w15:restartNumberingAfterBreak="0">
    <w:nsid w:val="51741445"/>
    <w:multiLevelType w:val="multilevel"/>
    <w:tmpl w:val="BC14C608"/>
    <w:lvl w:ilvl="0">
      <w:start w:val="1"/>
      <w:numFmt w:val="lowerLetter"/>
      <w:lvlText w:val="%1)"/>
      <w:lvlJc w:val="left"/>
      <w:pPr>
        <w:ind w:left="360" w:hanging="360"/>
      </w:pPr>
      <w:rPr>
        <w:rFonts w:ascii="Arial" w:eastAsia="Arial" w:hAnsi="Arial" w:cs="Arial"/>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5F3700A5"/>
    <w:multiLevelType w:val="multilevel"/>
    <w:tmpl w:val="C1E86982"/>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65D862B8"/>
    <w:multiLevelType w:val="multilevel"/>
    <w:tmpl w:val="ED5214B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AC02765"/>
    <w:multiLevelType w:val="multilevel"/>
    <w:tmpl w:val="1B2CDE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5"/>
  </w:num>
  <w:num w:numId="3">
    <w:abstractNumId w:val="0"/>
  </w:num>
  <w:num w:numId="4">
    <w:abstractNumId w:val="7"/>
  </w:num>
  <w:num w:numId="5">
    <w:abstractNumId w:val="9"/>
  </w:num>
  <w:num w:numId="6">
    <w:abstractNumId w:val="3"/>
  </w:num>
  <w:num w:numId="7">
    <w:abstractNumId w:val="10"/>
  </w:num>
  <w:num w:numId="8">
    <w:abstractNumId w:val="6"/>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EA"/>
    <w:rsid w:val="00010CEA"/>
    <w:rsid w:val="00014D68"/>
    <w:rsid w:val="004D34C9"/>
    <w:rsid w:val="005965D0"/>
    <w:rsid w:val="00697249"/>
    <w:rsid w:val="00850C79"/>
    <w:rsid w:val="00BB2F4A"/>
    <w:rsid w:val="00C93EFA"/>
    <w:rsid w:val="00CC2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20F08-7948-4304-9B9F-A7ECAB8A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noProof/>
      <w:sz w:val="20"/>
      <w:szCs w:val="20"/>
    </w:rPr>
  </w:style>
  <w:style w:type="character" w:styleId="Znakapoznpodarou">
    <w:name w:val="footnote reference"/>
    <w:rPr>
      <w:w w:val="100"/>
      <w:position w:val="-1"/>
      <w:effect w:val="none"/>
      <w:vertAlign w:val="superscript"/>
      <w:cs w:val="0"/>
      <w:em w:val="none"/>
    </w:rPr>
  </w:style>
  <w:style w:type="paragraph" w:customStyle="1" w:styleId="NormlnIMP">
    <w:name w:val="Normální_IMP"/>
    <w:basedOn w:val="Normln"/>
    <w:pPr>
      <w:suppressAutoHyphens w:val="0"/>
      <w:overflowPunct w:val="0"/>
      <w:autoSpaceDE w:val="0"/>
      <w:autoSpaceDN w:val="0"/>
      <w:adjustRightInd w:val="0"/>
      <w:spacing w:line="230" w:lineRule="auto"/>
      <w:jc w:val="both"/>
      <w:textAlignment w:val="baseline"/>
    </w:pPr>
    <w:rPr>
      <w:szCs w:val="20"/>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qFormat/>
    <w:rPr>
      <w:b/>
      <w:bCs/>
    </w:rPr>
  </w:style>
  <w:style w:type="character" w:customStyle="1" w:styleId="TextkomenteChar">
    <w:name w:val="Text komentáře Char"/>
    <w:basedOn w:val="Standardnpsmoodstavce"/>
    <w:rPr>
      <w:w w:val="100"/>
      <w:position w:val="-1"/>
      <w:effect w:val="none"/>
      <w:vertAlign w:val="baseline"/>
      <w:cs w:val="0"/>
      <w:em w:val="none"/>
    </w:rPr>
  </w:style>
  <w:style w:type="character" w:customStyle="1" w:styleId="PedmtkomenteChar">
    <w:name w:val="Předmět komentáře Char"/>
    <w:rPr>
      <w:b/>
      <w:bCs/>
      <w:w w:val="100"/>
      <w:position w:val="-1"/>
      <w:effect w:val="none"/>
      <w:vertAlign w:val="baseline"/>
      <w:cs w:val="0"/>
      <w:em w:val="none"/>
    </w:rPr>
  </w:style>
  <w:style w:type="paragraph" w:styleId="Zpat">
    <w:name w:val="footer"/>
    <w:basedOn w:val="Normln"/>
    <w:qFormat/>
    <w:pPr>
      <w:tabs>
        <w:tab w:val="center" w:pos="4536"/>
        <w:tab w:val="right" w:pos="9072"/>
      </w:tabs>
    </w:pPr>
  </w:style>
  <w:style w:type="character" w:customStyle="1" w:styleId="ZpatChar">
    <w:name w:val="Zápatí Char"/>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RQmsv6iEtnxZ56AeZp0MofThA==">CgMxLjA4AHIhMTNLUlhYeGJ0Q1VBejhQRHY2SDA3dlhwMEJ3OEVLS3hI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4765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DA210036</dc:creator>
  <cp:lastModifiedBy>spravce</cp:lastModifiedBy>
  <cp:revision>2</cp:revision>
  <dcterms:created xsi:type="dcterms:W3CDTF">2024-12-04T11:33:00Z</dcterms:created>
  <dcterms:modified xsi:type="dcterms:W3CDTF">2024-12-04T11:33:00Z</dcterms:modified>
</cp:coreProperties>
</file>