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5F8A" w14:textId="77777777" w:rsidR="00675BE1" w:rsidRDefault="00000000">
      <w:pPr>
        <w:spacing w:line="204" w:lineRule="auto"/>
        <w:jc w:val="center"/>
        <w:rPr>
          <w:rFonts w:ascii="Times New Roman" w:hAnsi="Times New Roman"/>
          <w:b/>
          <w:color w:val="000000"/>
          <w:spacing w:val="100"/>
          <w:sz w:val="40"/>
          <w:lang w:val="cs-CZ"/>
        </w:rPr>
      </w:pPr>
      <w:r>
        <w:rPr>
          <w:rFonts w:ascii="Times New Roman" w:hAnsi="Times New Roman"/>
          <w:b/>
          <w:color w:val="000000"/>
          <w:spacing w:val="100"/>
          <w:sz w:val="40"/>
          <w:lang w:val="cs-CZ"/>
        </w:rPr>
        <w:t>OBEC LIBČEVES</w:t>
      </w:r>
    </w:p>
    <w:p w14:paraId="34CCFEFC" w14:textId="77777777" w:rsidR="00675BE1" w:rsidRDefault="00000000">
      <w:pPr>
        <w:spacing w:before="252" w:line="422" w:lineRule="auto"/>
        <w:jc w:val="center"/>
        <w:rPr>
          <w:rFonts w:ascii="Times New Roman" w:hAnsi="Times New Roman"/>
          <w:b/>
          <w:color w:val="000000"/>
          <w:sz w:val="32"/>
          <w:lang w:val="cs-CZ"/>
        </w:rPr>
      </w:pPr>
      <w:r>
        <w:rPr>
          <w:rFonts w:ascii="Times New Roman" w:hAnsi="Times New Roman"/>
          <w:b/>
          <w:color w:val="000000"/>
          <w:sz w:val="32"/>
          <w:lang w:val="cs-CZ"/>
        </w:rPr>
        <w:t>ZASTUPITELSTVO OBCE LIB</w:t>
      </w:r>
      <w:r>
        <w:rPr>
          <w:rFonts w:ascii="Times New Roman" w:hAnsi="Times New Roman"/>
          <w:b/>
          <w:color w:val="000000"/>
          <w:sz w:val="32"/>
          <w:lang w:val="cs-CZ"/>
        </w:rPr>
        <w:br/>
        <w:t xml:space="preserve">ČEVES </w:t>
      </w:r>
      <w:r>
        <w:rPr>
          <w:rFonts w:ascii="Times New Roman" w:hAnsi="Times New Roman"/>
          <w:b/>
          <w:color w:val="000000"/>
          <w:sz w:val="32"/>
          <w:lang w:val="cs-CZ"/>
        </w:rPr>
        <w:br/>
        <w:t>Obecné závazná vyhláška č. 2/2019,</w:t>
      </w:r>
    </w:p>
    <w:p w14:paraId="375ED8D2" w14:textId="77777777" w:rsidR="00675BE1" w:rsidRDefault="00000000">
      <w:pPr>
        <w:spacing w:before="216"/>
        <w:jc w:val="center"/>
        <w:rPr>
          <w:rFonts w:ascii="Times New Roman" w:hAnsi="Times New Roman"/>
          <w:b/>
          <w:color w:val="000000"/>
          <w:spacing w:val="2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7"/>
          <w:lang w:val="cs-CZ"/>
        </w:rPr>
        <w:t>o místním poplatku ze psů</w:t>
      </w:r>
    </w:p>
    <w:p w14:paraId="4CB0D0DF" w14:textId="77777777" w:rsidR="00675BE1" w:rsidRDefault="00000000">
      <w:pPr>
        <w:spacing w:before="180"/>
        <w:jc w:val="both"/>
        <w:rPr>
          <w:rFonts w:ascii="Times New Roman" w:hAnsi="Times New Roman"/>
          <w:i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i/>
          <w:color w:val="000000"/>
          <w:spacing w:val="3"/>
          <w:sz w:val="24"/>
          <w:lang w:val="cs-CZ"/>
        </w:rPr>
        <w:t xml:space="preserve">Zastupitelstvo obce Libčeves se na svém zasedání dne 9. 12. 2019 usneslo usnesením č, </w:t>
      </w:r>
      <w:r>
        <w:rPr>
          <w:rFonts w:ascii="Times New Roman" w:hAnsi="Times New Roman"/>
          <w:i/>
          <w:color w:val="000000"/>
          <w:spacing w:val="2"/>
          <w:sz w:val="24"/>
          <w:lang w:val="cs-CZ"/>
        </w:rPr>
        <w:t xml:space="preserve">111/2019 vydat na základě š' 14 zákona č. 565/1990 Sb., o místních poplatcích, ve znění </w:t>
      </w:r>
      <w:r>
        <w:rPr>
          <w:rFonts w:ascii="Times New Roman" w:hAnsi="Times New Roman"/>
          <w:i/>
          <w:color w:val="000000"/>
          <w:sz w:val="24"/>
          <w:lang w:val="cs-CZ"/>
        </w:rPr>
        <w:t xml:space="preserve">pozdějších předpisů (dále jen „zákon o místních poplatcích"), a v souladu s ustanovením ' 10 </w:t>
      </w:r>
      <w:r>
        <w:rPr>
          <w:rFonts w:ascii="Times New Roman" w:hAnsi="Times New Roman"/>
          <w:i/>
          <w:color w:val="000000"/>
          <w:spacing w:val="-1"/>
          <w:sz w:val="24"/>
          <w:lang w:val="cs-CZ"/>
        </w:rPr>
        <w:t xml:space="preserve">písm. d) a š' 84 odst. 2 písm. h) zákona č. 128/2000 Sb., o obcích (obecní zřízení), ve znění </w:t>
      </w:r>
      <w:r>
        <w:rPr>
          <w:rFonts w:ascii="Times New Roman" w:hAnsi="Times New Roman"/>
          <w:i/>
          <w:color w:val="000000"/>
          <w:sz w:val="24"/>
          <w:lang w:val="cs-CZ"/>
        </w:rPr>
        <w:t>pozdějších předpisů, tuto obecně závaznou vyhlášku (dále jen „vyhláška"):</w:t>
      </w:r>
    </w:p>
    <w:p w14:paraId="3649DA06" w14:textId="77777777" w:rsidR="00675BE1" w:rsidRDefault="00000000">
      <w:pPr>
        <w:spacing w:before="180"/>
        <w:jc w:val="center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Článek 1 </w:t>
      </w:r>
      <w:r>
        <w:rPr>
          <w:rFonts w:ascii="Times New Roman" w:hAnsi="Times New Roman"/>
          <w:color w:val="000000"/>
          <w:sz w:val="23"/>
          <w:lang w:val="cs-CZ"/>
        </w:rPr>
        <w:br/>
      </w:r>
      <w:r>
        <w:rPr>
          <w:rFonts w:ascii="Times New Roman" w:hAnsi="Times New Roman"/>
          <w:color w:val="000000"/>
          <w:spacing w:val="8"/>
          <w:sz w:val="23"/>
          <w:lang w:val="cs-CZ"/>
        </w:rPr>
        <w:t>Úvodní ustanovení</w:t>
      </w:r>
    </w:p>
    <w:p w14:paraId="4A3DD7F2" w14:textId="77777777" w:rsidR="00675BE1" w:rsidRDefault="00000000">
      <w:pPr>
        <w:numPr>
          <w:ilvl w:val="0"/>
          <w:numId w:val="1"/>
        </w:numPr>
        <w:tabs>
          <w:tab w:val="clear" w:pos="360"/>
          <w:tab w:val="decimal" w:pos="432"/>
        </w:tabs>
        <w:spacing w:before="288"/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Obec Libčeves zavádí touto vyhláškou místní poplatek ze psů (dále jen „poplatek").</w:t>
      </w:r>
    </w:p>
    <w:p w14:paraId="4192287E" w14:textId="77777777" w:rsidR="00675BE1" w:rsidRDefault="00000000">
      <w:pPr>
        <w:numPr>
          <w:ilvl w:val="0"/>
          <w:numId w:val="1"/>
        </w:numPr>
        <w:tabs>
          <w:tab w:val="clear" w:pos="360"/>
          <w:tab w:val="decimal" w:pos="432"/>
        </w:tabs>
        <w:spacing w:before="36" w:line="208" w:lineRule="auto"/>
        <w:ind w:left="72"/>
        <w:rPr>
          <w:rFonts w:ascii="Times New Roman" w:hAnsi="Times New Roman"/>
          <w:color w:val="000000"/>
          <w:spacing w:val="12"/>
          <w:sz w:val="24"/>
          <w:lang w:val="cs-CZ"/>
        </w:rPr>
      </w:pPr>
      <w:r>
        <w:rPr>
          <w:rFonts w:ascii="Times New Roman" w:hAnsi="Times New Roman"/>
          <w:color w:val="000000"/>
          <w:spacing w:val="12"/>
          <w:sz w:val="24"/>
          <w:lang w:val="cs-CZ"/>
        </w:rPr>
        <w:t xml:space="preserve">Správcem poplatku je obecní úřad. </w:t>
      </w:r>
    </w:p>
    <w:p w14:paraId="1F2851DA" w14:textId="77777777" w:rsidR="00675BE1" w:rsidRDefault="00000000">
      <w:pPr>
        <w:spacing w:before="252"/>
        <w:jc w:val="center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Článek 2 </w:t>
      </w:r>
      <w:r>
        <w:rPr>
          <w:rFonts w:ascii="Times New Roman" w:hAnsi="Times New Roman"/>
          <w:color w:val="000000"/>
          <w:sz w:val="23"/>
          <w:lang w:val="cs-CZ"/>
        </w:rPr>
        <w:br/>
      </w:r>
      <w:r>
        <w:rPr>
          <w:rFonts w:ascii="Times New Roman" w:hAnsi="Times New Roman"/>
          <w:color w:val="000000"/>
          <w:spacing w:val="12"/>
          <w:sz w:val="23"/>
          <w:lang w:val="cs-CZ"/>
        </w:rPr>
        <w:t>Předmět poplatku a poplatník</w:t>
      </w:r>
    </w:p>
    <w:p w14:paraId="68D8D722" w14:textId="77777777" w:rsidR="00675BE1" w:rsidRDefault="00000000">
      <w:pPr>
        <w:numPr>
          <w:ilvl w:val="0"/>
          <w:numId w:val="2"/>
        </w:numPr>
        <w:tabs>
          <w:tab w:val="clear" w:pos="360"/>
          <w:tab w:val="decimal" w:pos="432"/>
        </w:tabs>
        <w:spacing w:before="216" w:line="264" w:lineRule="auto"/>
        <w:ind w:left="72"/>
        <w:rPr>
          <w:rFonts w:ascii="Times New Roman" w:hAnsi="Times New Roman"/>
          <w:color w:val="000000"/>
          <w:spacing w:val="10"/>
          <w:sz w:val="24"/>
          <w:lang w:val="cs-CZ"/>
        </w:rPr>
      </w:pPr>
      <w:r>
        <w:rPr>
          <w:rFonts w:ascii="Times New Roman" w:hAnsi="Times New Roman"/>
          <w:color w:val="000000"/>
          <w:spacing w:val="10"/>
          <w:sz w:val="24"/>
          <w:lang w:val="cs-CZ"/>
        </w:rPr>
        <w:t>Předmět poplatku upravuje zákon.</w:t>
      </w:r>
      <w:r>
        <w:rPr>
          <w:rFonts w:ascii="Times New Roman" w:hAnsi="Times New Roman"/>
          <w:color w:val="000000"/>
          <w:spacing w:val="10"/>
          <w:sz w:val="24"/>
          <w:vertAlign w:val="superscript"/>
          <w:lang w:val="cs-CZ"/>
        </w:rPr>
        <w:t>2</w:t>
      </w:r>
    </w:p>
    <w:p w14:paraId="61C2235E" w14:textId="77777777" w:rsidR="00675BE1" w:rsidRDefault="00000000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rPr>
          <w:rFonts w:ascii="Times New Roman" w:hAnsi="Times New Roman"/>
          <w:color w:val="000000"/>
          <w:spacing w:val="8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sz w:val="24"/>
          <w:lang w:val="cs-CZ"/>
        </w:rPr>
        <w:t>Poplatníka vymezuje zákon.</w:t>
      </w:r>
      <w:r>
        <w:rPr>
          <w:rFonts w:ascii="Times New Roman" w:hAnsi="Times New Roman"/>
          <w:color w:val="000000"/>
          <w:spacing w:val="8"/>
          <w:sz w:val="24"/>
          <w:vertAlign w:val="superscript"/>
          <w:lang w:val="cs-CZ"/>
        </w:rPr>
        <w:t>3)</w:t>
      </w:r>
    </w:p>
    <w:p w14:paraId="6FD3BC31" w14:textId="77777777" w:rsidR="00675BE1" w:rsidRDefault="00000000">
      <w:pPr>
        <w:spacing w:before="252"/>
        <w:jc w:val="center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Článek 3 </w:t>
      </w:r>
      <w:r>
        <w:rPr>
          <w:rFonts w:ascii="Times New Roman" w:hAnsi="Times New Roman"/>
          <w:color w:val="000000"/>
          <w:sz w:val="23"/>
          <w:lang w:val="cs-CZ"/>
        </w:rPr>
        <w:br/>
      </w:r>
      <w:r>
        <w:rPr>
          <w:rFonts w:ascii="Times New Roman" w:hAnsi="Times New Roman"/>
          <w:color w:val="000000"/>
          <w:spacing w:val="8"/>
          <w:sz w:val="23"/>
          <w:lang w:val="cs-CZ"/>
        </w:rPr>
        <w:t>Ohlašovací povinnost</w:t>
      </w:r>
    </w:p>
    <w:p w14:paraId="28E784FC" w14:textId="77777777" w:rsidR="00675BE1" w:rsidRDefault="00000000">
      <w:pPr>
        <w:numPr>
          <w:ilvl w:val="0"/>
          <w:numId w:val="3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Poplatník je povinen podat správci poplatku ohlášení do 15 dnů od vzniku poplatkové </w:t>
      </w:r>
      <w:r>
        <w:rPr>
          <w:rFonts w:ascii="Times New Roman" w:hAnsi="Times New Roman"/>
          <w:color w:val="000000"/>
          <w:spacing w:val="8"/>
          <w:sz w:val="24"/>
          <w:lang w:val="cs-CZ"/>
        </w:rPr>
        <w:t xml:space="preserve">povinnosti. Ve stejné lhůtě se ohlašuje nárok na osvobození, existoval-li důvod </w:t>
      </w:r>
      <w:r>
        <w:rPr>
          <w:rFonts w:ascii="Times New Roman" w:hAnsi="Times New Roman"/>
          <w:color w:val="000000"/>
          <w:sz w:val="24"/>
          <w:lang w:val="cs-CZ"/>
        </w:rPr>
        <w:t>osvobození v okamžiku vzniku poplatkové povinnosti.</w:t>
      </w:r>
    </w:p>
    <w:p w14:paraId="54E581A6" w14:textId="77777777" w:rsidR="00675BE1" w:rsidRDefault="00000000">
      <w:pPr>
        <w:numPr>
          <w:ilvl w:val="0"/>
          <w:numId w:val="3"/>
        </w:numPr>
        <w:tabs>
          <w:tab w:val="clear" w:pos="360"/>
          <w:tab w:val="decimal" w:pos="432"/>
        </w:tabs>
        <w:spacing w:after="576"/>
        <w:ind w:left="432" w:hanging="360"/>
        <w:jc w:val="both"/>
        <w:rPr>
          <w:rFonts w:ascii="Times New Roman" w:hAnsi="Times New Roman"/>
          <w:color w:val="000000"/>
          <w:spacing w:val="10"/>
          <w:sz w:val="24"/>
          <w:lang w:val="cs-CZ"/>
        </w:rPr>
      </w:pPr>
      <w:r>
        <w:rPr>
          <w:rFonts w:ascii="Times New Roman" w:hAnsi="Times New Roman"/>
          <w:color w:val="000000"/>
          <w:spacing w:val="10"/>
          <w:sz w:val="24"/>
          <w:lang w:val="cs-CZ"/>
        </w:rPr>
        <w:t>Obsah ohlášení upravuje zákon.`</w:t>
      </w:r>
      <w:r>
        <w:rPr>
          <w:rFonts w:ascii="Times New Roman" w:hAnsi="Times New Roman"/>
          <w:color w:val="000000"/>
          <w:spacing w:val="10"/>
          <w:sz w:val="24"/>
          <w:vertAlign w:val="superscript"/>
          <w:lang w:val="cs-CZ"/>
        </w:rPr>
        <w:t>)</w:t>
      </w:r>
    </w:p>
    <w:p w14:paraId="03ABAFCD" w14:textId="2AFE2632" w:rsidR="00675BE1" w:rsidRDefault="008D51A8">
      <w:pPr>
        <w:spacing w:before="108"/>
        <w:ind w:left="216"/>
        <w:rPr>
          <w:rFonts w:ascii="Times New Roman" w:hAnsi="Times New Roman"/>
          <w:color w:val="000000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7B15A8" wp14:editId="0241A25B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849755" cy="0"/>
                <wp:effectExtent l="6985" t="12065" r="10160" b="6985"/>
                <wp:wrapNone/>
                <wp:docPr id="14422915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7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200B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145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Z/uwEAAGEDAAAOAAAAZHJzL2Uyb0RvYy54bWysU01v2zAMvQ/YfxB0X5wUS5cacXpI1l26&#10;LUC7H8BIsi1MFgVSiZN/P0n5WLHdhvkgkCL59PhILx+PgxMHQ2zRN3I2mUphvEJtfdfIH69PHxZS&#10;cASvwaE3jTwZlo+r9++WY6jNHfbotCGRQDzXY2hkH2Ooq4pVbwbgCQbjU7BFGiAml7pKE4wJfXDV&#10;3XR6X41IOhAqw5xuN+egXBX8tjUqfm9bNlG4RiZusZxUzl0+q9US6o4g9FZdaMA/sBjA+vToDWoD&#10;EcSe7F9Qg1WEjG2cKBwqbFurTOkhdTOb/tHNSw/BlF6SOBxuMvH/g1XfDmu/pUxdHf1LeEb1k4XH&#10;dQ++M4XA6ymkwc2yVNUYuL6VZIfDlsRu/Io65cA+YlHh2NKQIVN/4ljEPt3ENscoVLqcLT4+fJrP&#10;pVDXWAX1tTAQxy8GB5GNRjrrsw5Qw+GZYyYC9TUlX3t8ss6VWTovxkbePyzmpYDRWZ2DOY2p260d&#10;iQPkbShf6SpF3qZl5A1wf84rofOeEO69Lq/0BvTnix3BurOdWDl/USkLk7eQ6x3q05au6qU5FvqX&#10;ncuL8tYv1b//jNUvAAAA//8DAFBLAwQUAAYACAAAACEAH9xX59oAAAACAQAADwAAAGRycy9kb3du&#10;cmV2LnhtbEyPQU/CQBSE7yb8h80j8SZbIILUvhJjYiThYCxeuG27z261+7bpbqH8e5cTHiczmfkm&#10;2462FSfqfeMYYT5LQBBXTjdcI3wd3h6eQPigWKvWMSFcyMM2n9xlKtXuzJ90KkItYgn7VCGYELpU&#10;Sl8ZssrPXEccvW/XWxWi7Gupe3WO5baViyRZSasajgtGdfRqqPotBovwc6jf7XHX7ffmUhZL/zjs&#10;PtaEeD8dX55BBBrDLQxX/IgOeWQq3cDaixYhHgkIaxDRW2zmSxDlVco8k//R8z8AAAD//wMAUEsB&#10;Ai0AFAAGAAgAAAAhALaDOJL+AAAA4QEAABMAAAAAAAAAAAAAAAAAAAAAAFtDb250ZW50X1R5cGVz&#10;XS54bWxQSwECLQAUAAYACAAAACEAOP0h/9YAAACUAQAACwAAAAAAAAAAAAAAAAAvAQAAX3JlbHMv&#10;LnJlbHNQSwECLQAUAAYACAAAACEAEKDGf7sBAABhAwAADgAAAAAAAAAAAAAAAAAuAgAAZHJzL2Uy&#10;b0RvYy54bWxQSwECLQAUAAYACAAAACEAH9xX59oAAAACAQAADwAAAAAAAAAAAAAAAAAVBAAAZHJz&#10;L2Rvd25yZXYueG1sUEsFBgAAAAAEAAQA8wAAABwFAAAAAA==&#10;" strokeweight=".55pt"/>
            </w:pict>
          </mc:Fallback>
        </mc:AlternateContent>
      </w:r>
      <w:r w:rsidR="00000000">
        <w:rPr>
          <w:rFonts w:ascii="Times New Roman" w:hAnsi="Times New Roman"/>
          <w:color w:val="000000"/>
          <w:sz w:val="20"/>
          <w:lang w:val="cs-CZ"/>
        </w:rPr>
        <w:t xml:space="preserve">§ 15 odst. I zákona o místních poplatcích </w:t>
      </w:r>
      <w:r w:rsidR="00000000">
        <w:rPr>
          <w:rFonts w:ascii="Times New Roman" w:hAnsi="Times New Roman"/>
          <w:i/>
          <w:color w:val="000000"/>
          <w:sz w:val="20"/>
          <w:lang w:val="cs-CZ"/>
        </w:rPr>
        <w:t>(Správcem poplatku je obecní úřad.)</w:t>
      </w:r>
    </w:p>
    <w:p w14:paraId="6C83ED90" w14:textId="77777777" w:rsidR="00675BE1" w:rsidRDefault="00000000">
      <w:pPr>
        <w:ind w:left="216"/>
        <w:jc w:val="both"/>
        <w:rPr>
          <w:rFonts w:ascii="Times New Roman" w:hAnsi="Times New Roman"/>
          <w:color w:val="000000"/>
          <w:w w:val="105"/>
          <w:lang w:val="cs-CZ"/>
        </w:rPr>
      </w:pPr>
      <w:r>
        <w:rPr>
          <w:rFonts w:ascii="Times New Roman" w:hAnsi="Times New Roman"/>
          <w:color w:val="000000"/>
          <w:w w:val="105"/>
          <w:lang w:val="cs-CZ"/>
        </w:rPr>
        <w:t xml:space="preserve">§ </w:t>
      </w:r>
      <w:r>
        <w:rPr>
          <w:rFonts w:ascii="Times New Roman" w:hAnsi="Times New Roman"/>
          <w:color w:val="000000"/>
          <w:sz w:val="20"/>
          <w:lang w:val="cs-CZ"/>
        </w:rPr>
        <w:t xml:space="preserve">2 odst. 2 zákona o místních poplatcích </w:t>
      </w:r>
      <w:r>
        <w:rPr>
          <w:rFonts w:ascii="Times New Roman" w:hAnsi="Times New Roman"/>
          <w:i/>
          <w:color w:val="000000"/>
          <w:sz w:val="20"/>
          <w:lang w:val="cs-CZ"/>
        </w:rPr>
        <w:t xml:space="preserve">(Poplatek ze psů se platí ze psů starších 3 měsíců.); § </w:t>
      </w:r>
      <w:r>
        <w:rPr>
          <w:rFonts w:ascii="Times New Roman" w:hAnsi="Times New Roman"/>
          <w:color w:val="000000"/>
          <w:sz w:val="20"/>
          <w:lang w:val="cs-CZ"/>
        </w:rPr>
        <w:t xml:space="preserve">2 odst. 3 zákona </w:t>
      </w: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o místních poplatcích ( </w:t>
      </w: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 xml:space="preserve">případě trvání poplatkové povinnosti po dobu kratší než jeden rok se platí poplatek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v poměrné výši, která odpovídá počtu i započatých kalendářních měsíců.); §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2 odst. 4 zákona o místních </w:t>
      </w: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poplatcích </w:t>
      </w:r>
      <w:r>
        <w:rPr>
          <w:rFonts w:ascii="Times New Roman" w:hAnsi="Times New Roman"/>
          <w:i/>
          <w:color w:val="000000"/>
          <w:spacing w:val="-2"/>
          <w:sz w:val="20"/>
          <w:lang w:val="cs-CZ"/>
        </w:rPr>
        <w:t xml:space="preserve">(Při změně místa přihlášení nebo sídla platí držitel psa poplatek od počátku kalendářního měsíce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následujícího po měsíci, ve kterém změna nastala, nově příslušné obci. Pro výpočet poměrné výše poplatku </w:t>
      </w:r>
      <w:r>
        <w:rPr>
          <w:rFonts w:ascii="Times New Roman" w:hAnsi="Times New Roman"/>
          <w:i/>
          <w:color w:val="000000"/>
          <w:sz w:val="20"/>
          <w:lang w:val="cs-CZ"/>
        </w:rPr>
        <w:t>platí obdobně odstavec 3.)</w:t>
      </w:r>
    </w:p>
    <w:p w14:paraId="1C3D9FF5" w14:textId="77777777" w:rsidR="00675BE1" w:rsidRDefault="00000000">
      <w:pPr>
        <w:jc w:val="center"/>
        <w:rPr>
          <w:rFonts w:ascii="Times New Roman" w:hAnsi="Times New Roman"/>
          <w:color w:val="000000"/>
          <w:spacing w:val="4"/>
          <w:sz w:val="13"/>
          <w:vertAlign w:val="superscript"/>
          <w:lang w:val="cs-CZ"/>
        </w:rPr>
      </w:pPr>
      <w:r>
        <w:rPr>
          <w:rFonts w:ascii="Times New Roman" w:hAnsi="Times New Roman"/>
          <w:color w:val="000000"/>
          <w:spacing w:val="4"/>
          <w:sz w:val="13"/>
          <w:vertAlign w:val="superscript"/>
          <w:lang w:val="cs-CZ"/>
        </w:rPr>
        <w:t>3)</w:t>
      </w:r>
      <w:r>
        <w:rPr>
          <w:rFonts w:ascii="Times New Roman" w:hAnsi="Times New Roman"/>
          <w:color w:val="000000"/>
          <w:spacing w:val="4"/>
          <w:w w:val="105"/>
          <w:lang w:val="cs-CZ"/>
        </w:rPr>
        <w:t xml:space="preserve">š </w:t>
      </w:r>
      <w:r>
        <w:rPr>
          <w:rFonts w:ascii="Times New Roman" w:hAnsi="Times New Roman"/>
          <w:color w:val="000000"/>
          <w:spacing w:val="4"/>
          <w:sz w:val="20"/>
          <w:lang w:val="cs-CZ"/>
        </w:rPr>
        <w:t xml:space="preserve">2 odst. I zákona o místních poplatcích </w:t>
      </w:r>
      <w:r>
        <w:rPr>
          <w:rFonts w:ascii="Times New Roman" w:hAnsi="Times New Roman"/>
          <w:i/>
          <w:color w:val="000000"/>
          <w:spacing w:val="4"/>
          <w:sz w:val="20"/>
          <w:lang w:val="cs-CZ"/>
        </w:rPr>
        <w:t>(Poplatek ze psů platí držitel psa. Tím může být pro účely tohoto</w:t>
      </w:r>
    </w:p>
    <w:p w14:paraId="032E2A30" w14:textId="77777777" w:rsidR="00675BE1" w:rsidRDefault="00000000">
      <w:pPr>
        <w:jc w:val="right"/>
        <w:rPr>
          <w:rFonts w:ascii="Times New Roman" w:hAnsi="Times New Roman"/>
          <w:i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poplatku osoba, která je přihlášena nebo má sídlo na území České republiky); §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>2 odst. 4 zákona o místních</w:t>
      </w:r>
    </w:p>
    <w:p w14:paraId="1D151F0C" w14:textId="77777777" w:rsidR="00675BE1" w:rsidRDefault="00000000">
      <w:pPr>
        <w:ind w:right="1152" w:firstLine="216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poplatcích </w:t>
      </w:r>
      <w:r>
        <w:rPr>
          <w:rFonts w:ascii="Times New Roman" w:hAnsi="Times New Roman"/>
          <w:i/>
          <w:color w:val="000000"/>
          <w:sz w:val="20"/>
          <w:lang w:val="cs-CZ"/>
        </w:rPr>
        <w:t xml:space="preserve">(Poplatek ze psů platí držitel obci příslušné podle svého místa přihlášení nebo sídla.) </w:t>
      </w:r>
      <w:r>
        <w:rPr>
          <w:rFonts w:ascii="Times New Roman" w:hAnsi="Times New Roman"/>
          <w:color w:val="000000"/>
          <w:sz w:val="13"/>
          <w:vertAlign w:val="superscript"/>
          <w:lang w:val="cs-CZ"/>
        </w:rPr>
        <w:t>4)</w:t>
      </w:r>
      <w:r>
        <w:rPr>
          <w:rFonts w:ascii="Times New Roman" w:hAnsi="Times New Roman"/>
          <w:color w:val="000000"/>
          <w:w w:val="105"/>
          <w:lang w:val="cs-CZ"/>
        </w:rPr>
        <w:t xml:space="preserve"> § </w:t>
      </w:r>
      <w:r>
        <w:rPr>
          <w:rFonts w:ascii="Times New Roman" w:hAnsi="Times New Roman"/>
          <w:color w:val="000000"/>
          <w:sz w:val="20"/>
          <w:lang w:val="cs-CZ"/>
        </w:rPr>
        <w:t xml:space="preserve">14a odst. 2, 3 a 5 zákona o místních poplatcích: </w:t>
      </w:r>
      <w:r>
        <w:rPr>
          <w:rFonts w:ascii="Times New Roman" w:hAnsi="Times New Roman"/>
          <w:i/>
          <w:color w:val="000000"/>
          <w:sz w:val="20"/>
          <w:lang w:val="cs-CZ"/>
        </w:rPr>
        <w:t>(2) V ohlášení poplatník nebo plátce uvede</w:t>
      </w:r>
    </w:p>
    <w:p w14:paraId="4E54DE43" w14:textId="77777777" w:rsidR="00675BE1" w:rsidRDefault="00000000">
      <w:pPr>
        <w:numPr>
          <w:ilvl w:val="0"/>
          <w:numId w:val="4"/>
        </w:numPr>
        <w:tabs>
          <w:tab w:val="clear" w:pos="216"/>
          <w:tab w:val="decimal" w:pos="576"/>
        </w:tabs>
        <w:ind w:left="288" w:firstLine="72"/>
        <w:jc w:val="both"/>
        <w:rPr>
          <w:rFonts w:ascii="Times New Roman" w:hAnsi="Times New Roman"/>
          <w:i/>
          <w:color w:val="000000"/>
          <w:sz w:val="20"/>
          <w:lang w:val="cs-CZ"/>
        </w:rPr>
      </w:pPr>
      <w:r>
        <w:rPr>
          <w:rFonts w:ascii="Times New Roman" w:hAnsi="Times New Roman"/>
          <w:i/>
          <w:color w:val="000000"/>
          <w:sz w:val="20"/>
          <w:lang w:val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8DF8516" w14:textId="77777777" w:rsidR="00675BE1" w:rsidRDefault="00000000">
      <w:pPr>
        <w:numPr>
          <w:ilvl w:val="0"/>
          <w:numId w:val="4"/>
        </w:numPr>
        <w:tabs>
          <w:tab w:val="clear" w:pos="216"/>
          <w:tab w:val="decimal" w:pos="576"/>
        </w:tabs>
        <w:ind w:left="288" w:firstLine="72"/>
        <w:jc w:val="both"/>
        <w:rPr>
          <w:rFonts w:ascii="Times New Roman" w:hAnsi="Times New Roman"/>
          <w:i/>
          <w:color w:val="000000"/>
          <w:spacing w:val="-1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lastRenderedPageBreak/>
        <w:t xml:space="preserve">čísla všech svých účtů u poskytovatelů platebních služeb, včetně poskytovatelů těchto služeb v zahraničí, </w:t>
      </w:r>
      <w:r>
        <w:rPr>
          <w:rFonts w:ascii="Times New Roman" w:hAnsi="Times New Roman"/>
          <w:i/>
          <w:color w:val="000000"/>
          <w:sz w:val="20"/>
          <w:lang w:val="cs-CZ"/>
        </w:rPr>
        <w:t>užívaných v souvislosti s podnikatelskou činností, v případě, že předmět poplatku souvisí s podnikatelskou činností poplatníka nebo plátce,</w:t>
      </w:r>
    </w:p>
    <w:p w14:paraId="2201612E" w14:textId="77777777" w:rsidR="00675BE1" w:rsidRPr="008D51A8" w:rsidRDefault="00675BE1">
      <w:pPr>
        <w:rPr>
          <w:lang w:val="cs-CZ"/>
        </w:rPr>
        <w:sectPr w:rsidR="00675BE1" w:rsidRPr="008D51A8" w:rsidSect="0027294F">
          <w:pgSz w:w="11918" w:h="16854"/>
          <w:pgMar w:top="1294" w:right="1332" w:bottom="1230" w:left="1406" w:header="720" w:footer="720" w:gutter="0"/>
          <w:cols w:space="708"/>
        </w:sectPr>
      </w:pPr>
    </w:p>
    <w:p w14:paraId="29F9E06D" w14:textId="77777777" w:rsidR="00675BE1" w:rsidRDefault="00000000">
      <w:pPr>
        <w:spacing w:line="278" w:lineRule="auto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lastRenderedPageBreak/>
        <w:t>3) Postup při změně</w:t>
      </w:r>
      <w:r>
        <w:rPr>
          <w:rFonts w:ascii="Times New Roman" w:hAnsi="Times New Roman"/>
          <w:color w:val="000000"/>
          <w:sz w:val="24"/>
          <w:vertAlign w:val="superscript"/>
          <w:lang w:val="cs-CZ"/>
        </w:rPr>
        <w:t>5)</w:t>
      </w:r>
      <w:r>
        <w:rPr>
          <w:rFonts w:ascii="Times New Roman" w:hAnsi="Times New Roman"/>
          <w:color w:val="000000"/>
          <w:sz w:val="24"/>
          <w:lang w:val="cs-CZ"/>
        </w:rPr>
        <w:t xml:space="preserve"> údajů uvedených v ohlášení upravuje zákon.</w:t>
      </w:r>
      <w:r>
        <w:rPr>
          <w:rFonts w:ascii="Times New Roman" w:hAnsi="Times New Roman"/>
          <w:color w:val="000000"/>
          <w:sz w:val="24"/>
          <w:vertAlign w:val="superscript"/>
          <w:lang w:val="cs-CZ"/>
        </w:rPr>
        <w:t>6</w:t>
      </w:r>
    </w:p>
    <w:p w14:paraId="722390B5" w14:textId="77777777" w:rsidR="00675BE1" w:rsidRDefault="00000000">
      <w:pPr>
        <w:spacing w:line="211" w:lineRule="auto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4) Důsledky nespinění ohlašovací povinnosti ke vzniku osvobození stanoví zákon.'</w:t>
      </w:r>
      <w:r>
        <w:rPr>
          <w:rFonts w:ascii="Times New Roman" w:hAnsi="Times New Roman"/>
          <w:color w:val="000000"/>
          <w:spacing w:val="-2"/>
          <w:sz w:val="24"/>
          <w:vertAlign w:val="superscript"/>
          <w:lang w:val="cs-CZ"/>
        </w:rPr>
        <w:t>)</w:t>
      </w:r>
    </w:p>
    <w:p w14:paraId="59736B29" w14:textId="77777777" w:rsidR="00675BE1" w:rsidRDefault="00000000">
      <w:pPr>
        <w:spacing w:before="216" w:after="252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4 </w:t>
      </w:r>
      <w:r>
        <w:rPr>
          <w:rFonts w:ascii="Times New Roman" w:hAnsi="Times New Roman"/>
          <w:b/>
          <w:color w:val="000000"/>
          <w:sz w:val="23"/>
          <w:lang w:val="cs-CZ"/>
        </w:rPr>
        <w:br/>
        <w:t>Sazba poplatku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618"/>
        <w:gridCol w:w="1984"/>
        <w:gridCol w:w="2135"/>
      </w:tblGrid>
      <w:tr w:rsidR="00675BE1" w:rsidRPr="008D51A8" w14:paraId="65D4C14D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4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E407" w14:textId="77777777" w:rsidR="00675BE1" w:rsidRDefault="00000000">
            <w:pPr>
              <w:ind w:left="83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Sazba poplatku činí za kalendářní rok: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BC1C" w14:textId="77777777" w:rsidR="00675BE1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za jednoho psa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304D" w14:textId="77777777" w:rsidR="00675BE1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 xml:space="preserve">za druhého a </w:t>
            </w: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br/>
              <w:t xml:space="preserve">každého dalšího psa </w:t>
            </w: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br/>
              <w:t>téhož držitele</w:t>
            </w:r>
          </w:p>
        </w:tc>
      </w:tr>
      <w:tr w:rsidR="00675BE1" w14:paraId="5BA63EAD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A42E" w14:textId="77777777" w:rsidR="00675BE1" w:rsidRDefault="00000000">
            <w:pPr>
              <w:ind w:left="83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a)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4032" w14:textId="77777777" w:rsidR="00675BE1" w:rsidRDefault="00000000">
            <w:pPr>
              <w:ind w:left="79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ze psa, jehož držitelem je osoba starší 65 let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7C94" w14:textId="77777777" w:rsidR="00675BE1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100 Kč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1F5E" w14:textId="77777777" w:rsidR="00675BE1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100 Kč</w:t>
            </w:r>
          </w:p>
        </w:tc>
      </w:tr>
      <w:tr w:rsidR="00675BE1" w14:paraId="46F1BAA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5169" w14:textId="77777777" w:rsidR="00675BE1" w:rsidRDefault="00000000">
            <w:pPr>
              <w:ind w:left="83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b)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E577" w14:textId="77777777" w:rsidR="00675BE1" w:rsidRDefault="00000000">
            <w:pPr>
              <w:ind w:left="79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z jiného psa, než je uvedený v písm. 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C22C" w14:textId="77777777" w:rsidR="00675BE1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100 Kč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F7CF" w14:textId="77777777" w:rsidR="00675BE1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200 Kč</w:t>
            </w:r>
          </w:p>
        </w:tc>
      </w:tr>
    </w:tbl>
    <w:p w14:paraId="4291AB33" w14:textId="77777777" w:rsidR="00675BE1" w:rsidRDefault="00675BE1">
      <w:pPr>
        <w:spacing w:after="352" w:line="20" w:lineRule="exact"/>
      </w:pPr>
    </w:p>
    <w:p w14:paraId="69618EE7" w14:textId="77777777" w:rsidR="00675BE1" w:rsidRDefault="00000000">
      <w:pPr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5 </w:t>
      </w:r>
      <w:r>
        <w:rPr>
          <w:rFonts w:ascii="Times New Roman" w:hAnsi="Times New Roman"/>
          <w:b/>
          <w:color w:val="000000"/>
          <w:sz w:val="23"/>
          <w:lang w:val="cs-CZ"/>
        </w:rPr>
        <w:br/>
        <w:t>Osvobození</w:t>
      </w:r>
    </w:p>
    <w:p w14:paraId="5EB429C7" w14:textId="77777777" w:rsidR="00675BE1" w:rsidRDefault="00000000">
      <w:pPr>
        <w:spacing w:before="288" w:line="280" w:lineRule="auto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Důvody osvobození od poplatku stanoví zákon.</w:t>
      </w:r>
      <w:r>
        <w:rPr>
          <w:rFonts w:ascii="Times New Roman" w:hAnsi="Times New Roman"/>
          <w:color w:val="000000"/>
          <w:spacing w:val="-2"/>
          <w:sz w:val="24"/>
          <w:vertAlign w:val="superscript"/>
          <w:lang w:val="cs-CZ"/>
        </w:rPr>
        <w:t>8)</w:t>
      </w:r>
    </w:p>
    <w:p w14:paraId="40B3ACC8" w14:textId="77777777" w:rsidR="00675BE1" w:rsidRDefault="00000000">
      <w:pPr>
        <w:spacing w:before="252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6 </w:t>
      </w:r>
      <w:r>
        <w:rPr>
          <w:rFonts w:ascii="Times New Roman" w:hAnsi="Times New Roman"/>
          <w:b/>
          <w:color w:val="000000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Splatnost poplatku</w:t>
      </w:r>
    </w:p>
    <w:p w14:paraId="47F8474D" w14:textId="77777777" w:rsidR="00675BE1" w:rsidRDefault="00000000">
      <w:pPr>
        <w:numPr>
          <w:ilvl w:val="0"/>
          <w:numId w:val="5"/>
        </w:numPr>
        <w:tabs>
          <w:tab w:val="clear" w:pos="360"/>
          <w:tab w:val="decimal" w:pos="432"/>
        </w:tabs>
        <w:spacing w:before="288"/>
        <w:ind w:left="432" w:hanging="360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>Poplatek je splatný nejpozději do konce měsíce února příslušného kalendářního roku.</w:t>
      </w:r>
    </w:p>
    <w:p w14:paraId="1AD43C3A" w14:textId="77777777" w:rsidR="00675BE1" w:rsidRDefault="00000000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V případě vzniku poplatkové povinnosti (nebo zániku osvobození) po 15. 2. příslušného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kalendářního roku, je poměrná výše poplatku splatná nejpozději do 15 dnů od vzniku </w:t>
      </w:r>
      <w:r>
        <w:rPr>
          <w:rFonts w:ascii="Times New Roman" w:hAnsi="Times New Roman"/>
          <w:color w:val="000000"/>
          <w:sz w:val="24"/>
          <w:lang w:val="cs-CZ"/>
        </w:rPr>
        <w:t>poplatkové povinnosti (nebo zániku osvobození).</w:t>
      </w:r>
    </w:p>
    <w:p w14:paraId="5B173C15" w14:textId="77777777" w:rsidR="00675BE1" w:rsidRDefault="00000000">
      <w:pPr>
        <w:spacing w:before="324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7 </w:t>
      </w:r>
      <w:r>
        <w:rPr>
          <w:rFonts w:ascii="Times New Roman" w:hAnsi="Times New Roman"/>
          <w:b/>
          <w:color w:val="000000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Zrušovací ustanovení</w:t>
      </w:r>
    </w:p>
    <w:p w14:paraId="2568E89E" w14:textId="77777777" w:rsidR="00675BE1" w:rsidRDefault="00000000">
      <w:pPr>
        <w:spacing w:before="216" w:after="936"/>
        <w:jc w:val="center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Zrušuje se obecně závazná vyhláška č. 4/2011, o místním poplatku ze psů, ze dne 26. 4. 2011.</w:t>
      </w:r>
    </w:p>
    <w:p w14:paraId="44B0B9F5" w14:textId="4DB716C9" w:rsidR="00675BE1" w:rsidRDefault="008D51A8">
      <w:pPr>
        <w:spacing w:before="108" w:line="232" w:lineRule="exact"/>
        <w:ind w:left="288"/>
        <w:jc w:val="both"/>
        <w:rPr>
          <w:rFonts w:ascii="Times New Roman" w:hAnsi="Times New Roman"/>
          <w:i/>
          <w:color w:val="000000"/>
          <w:spacing w:val="10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A8328" wp14:editId="025D3B42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791835" cy="0"/>
                <wp:effectExtent l="10795" t="10795" r="7620" b="8255"/>
                <wp:wrapNone/>
                <wp:docPr id="12526941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8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216C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56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+luwEAAGEDAAAOAAAAZHJzL2Uyb0RvYy54bWysU01v2zAMvQ/YfxB0X5x0SJcacXpI1l26&#10;LUC7H8BIsi1MFgVSiZN/P0n5WLHdhvkgkCL59PhILx+PgxMHQ2zRN3I2mUphvEJtfdfIH69PHxZS&#10;cASvwaE3jTwZlo+r9++WY6jNHfbotCGRQDzXY2hkH2Ooq4pVbwbgCQbjU7BFGiAml7pKE4wJfXDV&#10;3XR6X41IOhAqw5xuN+egXBX8tjUqfm9bNlG4RiZusZxUzl0+q9US6o4g9FZdaMA/sBjA+vToDWoD&#10;EcSe7F9Qg1WEjG2cKBwqbFurTOkhdTOb/tHNSw/BlF6SOBxuMvH/g1XfDmu/pUxdHf1LeEb1k4XH&#10;dQ++M4XA6ymkwc2yVNUYuL6VZIfDlsRu/Io65cA+YlHh2NKQIVN/4ljEPt3ENscoVLqcf3qYLT7O&#10;pVDXWAX1tTAQxy8GB5GNRjrrsw5Qw+GZYyYC9TUlX3t8ss6VWTovxkbePyzmpYDRWZ2DOY2p260d&#10;iQPkbShf6SpF3qZl5A1wf84rofOeEO69Lq/0BvTnix3BurOdWDl/USkLk7eQ6x3q05au6qU5FvqX&#10;ncuL8tYv1b//jNUvAAAA//8DAFBLAwQUAAYACAAAACEA/y6VSNoAAAACAQAADwAAAGRycy9kb3du&#10;cmV2LnhtbEyPwU7DMBBE70j9B2srcaNOiqAQ4lQVEqJSD4iUCzcnXuLQeB3FTpv+PdsTPY5mNPMm&#10;X0+uE0ccQutJQbpIQCDV3rTUKPjav909gQhRk9GdJ1RwxgDrYnaT68z4E33isYyN4BIKmVZgY+wz&#10;KUNt0emw8D0Sez9+cDqyHBppBn3ictfJZZI8Sqdb4gWre3y1WB/K0Sn43Tfv7nvb73b2XJX34WHc&#10;fqxQqdv5tHkBEXGK/2G44DM6FMxU+ZFMEJ0CPhIVrECw95wuUxDVRcoil9foxR8AAAD//wMAUEsB&#10;Ai0AFAAGAAgAAAAhALaDOJL+AAAA4QEAABMAAAAAAAAAAAAAAAAAAAAAAFtDb250ZW50X1R5cGVz&#10;XS54bWxQSwECLQAUAAYACAAAACEAOP0h/9YAAACUAQAACwAAAAAAAAAAAAAAAAAvAQAAX3JlbHMv&#10;LnJlbHNQSwECLQAUAAYACAAAACEA8jFfpbsBAABhAwAADgAAAAAAAAAAAAAAAAAuAgAAZHJzL2Uy&#10;b0RvYy54bWxQSwECLQAUAAYACAAAACEA/y6VSNoAAAACAQAADwAAAAAAAAAAAAAAAAAVBAAAZHJz&#10;L2Rvd25yZXYueG1sUEsFBgAAAAAEAAQA8wAAABwFAAAAAA==&#10;" strokeweight=".55pt"/>
            </w:pict>
          </mc:Fallback>
        </mc:AlternateContent>
      </w:r>
      <w:r w:rsidR="00000000">
        <w:rPr>
          <w:rFonts w:ascii="Times New Roman" w:hAnsi="Times New Roman"/>
          <w:i/>
          <w:color w:val="000000"/>
          <w:spacing w:val="10"/>
          <w:sz w:val="20"/>
          <w:lang w:val="cs-CZ"/>
        </w:rPr>
        <w:t xml:space="preserve">c) údaje rozhodné pro stanovení výše poplatku (včetně např. důvodů osvobození, pokud existují již </w:t>
      </w:r>
      <w:r w:rsidR="00000000">
        <w:rPr>
          <w:rFonts w:ascii="Times New Roman" w:hAnsi="Times New Roman"/>
          <w:i/>
          <w:color w:val="000000"/>
          <w:sz w:val="20"/>
          <w:lang w:val="cs-CZ"/>
        </w:rPr>
        <w:t>v okamžiku podání ohlášení).</w:t>
      </w:r>
    </w:p>
    <w:p w14:paraId="4ADACD8F" w14:textId="77777777" w:rsidR="00675BE1" w:rsidRDefault="00000000">
      <w:pPr>
        <w:spacing w:line="233" w:lineRule="exact"/>
        <w:ind w:left="288"/>
        <w:jc w:val="both"/>
        <w:rPr>
          <w:rFonts w:ascii="Times New Roman" w:hAnsi="Times New Roman"/>
          <w:i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3) Poplatník nebo plátce, který nemá sídlo nebo bydliště na území členského státu Evropské unie, jiného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smluvního státu Dohody o Evropském hospodářském prostoru nebo Švýcarské konfederace, uvede kromě </w:t>
      </w:r>
      <w:r>
        <w:rPr>
          <w:rFonts w:ascii="Times New Roman" w:hAnsi="Times New Roman"/>
          <w:i/>
          <w:color w:val="000000"/>
          <w:sz w:val="20"/>
          <w:lang w:val="cs-CZ"/>
        </w:rPr>
        <w:t>údajů požadovaných v odstavci 2 adresu svého zmocněnce v tuzemsku pro doručování.</w:t>
      </w:r>
    </w:p>
    <w:p w14:paraId="470CD3D2" w14:textId="77777777" w:rsidR="00675BE1" w:rsidRDefault="00000000">
      <w:pPr>
        <w:spacing w:line="223" w:lineRule="exact"/>
        <w:ind w:left="288"/>
        <w:jc w:val="both"/>
        <w:rPr>
          <w:rFonts w:ascii="Times New Roman" w:hAnsi="Times New Roman"/>
          <w:i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 xml:space="preserve">5) Povinnost ohlásit údaj podle odstavce 2 nebo jeho změnu se nevztahuje na údaj, který může správce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poplatku automatizovaným způsobem zjistit z rejstříků nebo evidencí, do nichž má zřízen automatizovaný </w:t>
      </w:r>
      <w:r>
        <w:rPr>
          <w:rFonts w:ascii="Times New Roman" w:hAnsi="Times New Roman"/>
          <w:i/>
          <w:color w:val="000000"/>
          <w:sz w:val="20"/>
          <w:lang w:val="cs-CZ"/>
        </w:rPr>
        <w:t>přístup. Okruh těchto údajů zveřejní správce poplatku na své úřední desce.)</w:t>
      </w:r>
    </w:p>
    <w:p w14:paraId="5226F635" w14:textId="77777777" w:rsidR="00675BE1" w:rsidRDefault="00000000">
      <w:pPr>
        <w:numPr>
          <w:ilvl w:val="0"/>
          <w:numId w:val="6"/>
        </w:numPr>
        <w:tabs>
          <w:tab w:val="clear" w:pos="144"/>
          <w:tab w:val="decimal" w:pos="216"/>
        </w:tabs>
        <w:spacing w:line="228" w:lineRule="exact"/>
        <w:ind w:left="72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>včetně zániku poplatkové povinnosti</w:t>
      </w:r>
    </w:p>
    <w:p w14:paraId="3BC01DB4" w14:textId="77777777" w:rsidR="00675BE1" w:rsidRDefault="00675BE1">
      <w:pPr>
        <w:numPr>
          <w:ilvl w:val="0"/>
          <w:numId w:val="6"/>
        </w:numPr>
        <w:tabs>
          <w:tab w:val="clear" w:pos="144"/>
          <w:tab w:val="decimal" w:pos="216"/>
        </w:tabs>
        <w:spacing w:line="68" w:lineRule="exact"/>
        <w:ind w:left="72"/>
        <w:rPr>
          <w:rFonts w:ascii="Arial" w:hAnsi="Arial"/>
          <w:color w:val="000000"/>
          <w:sz w:val="12"/>
          <w:lang w:val="cs-CZ"/>
        </w:rPr>
      </w:pPr>
    </w:p>
    <w:p w14:paraId="5440630C" w14:textId="77777777" w:rsidR="00675BE1" w:rsidRDefault="00000000">
      <w:pPr>
        <w:spacing w:line="207" w:lineRule="exact"/>
        <w:ind w:left="144"/>
        <w:jc w:val="both"/>
        <w:rPr>
          <w:rFonts w:ascii="Times New Roman" w:hAnsi="Times New Roman"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§ 14a odst. 4 zákona o místních poplatcích </w:t>
      </w: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 xml:space="preserve">(Dojde-li ke změně údajů uvedených v ohlášení, je poplatník </w:t>
      </w:r>
      <w:r>
        <w:rPr>
          <w:rFonts w:ascii="Times New Roman" w:hAnsi="Times New Roman"/>
          <w:i/>
          <w:color w:val="000000"/>
          <w:spacing w:val="-1"/>
          <w:sz w:val="20"/>
          <w:lang w:val="cs-CZ"/>
        </w:rPr>
        <w:t xml:space="preserve">povinen tuto změnu oznámit do 15 dnů ode dne, kdy nastala, nestanoví-li obec v obecně závazné vyhlášce delší </w:t>
      </w:r>
      <w:r>
        <w:rPr>
          <w:rFonts w:ascii="Times New Roman" w:hAnsi="Times New Roman"/>
          <w:i/>
          <w:color w:val="000000"/>
          <w:sz w:val="20"/>
          <w:lang w:val="cs-CZ"/>
        </w:rPr>
        <w:t>lhůtu.)</w:t>
      </w:r>
    </w:p>
    <w:p w14:paraId="4524A956" w14:textId="77777777" w:rsidR="00675BE1" w:rsidRDefault="00675BE1">
      <w:pPr>
        <w:numPr>
          <w:ilvl w:val="0"/>
          <w:numId w:val="6"/>
        </w:numPr>
        <w:tabs>
          <w:tab w:val="clear" w:pos="144"/>
          <w:tab w:val="decimal" w:pos="216"/>
        </w:tabs>
        <w:spacing w:line="72" w:lineRule="exact"/>
        <w:ind w:left="72"/>
        <w:rPr>
          <w:rFonts w:ascii="Arial" w:hAnsi="Arial"/>
          <w:color w:val="000000"/>
          <w:sz w:val="12"/>
          <w:lang w:val="cs-CZ"/>
        </w:rPr>
      </w:pPr>
    </w:p>
    <w:p w14:paraId="2A812A40" w14:textId="77777777" w:rsidR="00675BE1" w:rsidRDefault="00000000">
      <w:pPr>
        <w:spacing w:line="214" w:lineRule="exact"/>
        <w:ind w:left="144"/>
        <w:jc w:val="both"/>
        <w:rPr>
          <w:rFonts w:ascii="Times New Roman" w:hAnsi="Times New Roman"/>
          <w:color w:val="000000"/>
          <w:spacing w:val="2"/>
          <w:sz w:val="20"/>
          <w:lang w:val="cs-CZ"/>
        </w:rPr>
      </w:pP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§ 14a odst. 6 zákona o místních poplatcích V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případě, že poplatník nespiní povinnost ohlásit údaj rozhodný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pro osvobození nebo úlevu od poplatku ve lhůtě stanovené obecně závaznou vyhláškou nebo ve lhůtě podle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odstavce </w:t>
      </w:r>
      <w:r>
        <w:rPr>
          <w:rFonts w:ascii="Times New Roman" w:hAnsi="Times New Roman"/>
          <w:color w:val="000000"/>
          <w:spacing w:val="2"/>
          <w:sz w:val="20"/>
          <w:lang w:val="cs-CZ"/>
        </w:rPr>
        <w:t xml:space="preserve">4, </w:t>
      </w:r>
      <w:r>
        <w:rPr>
          <w:rFonts w:ascii="Times New Roman" w:hAnsi="Times New Roman"/>
          <w:i/>
          <w:color w:val="000000"/>
          <w:spacing w:val="2"/>
          <w:sz w:val="20"/>
          <w:lang w:val="cs-CZ"/>
        </w:rPr>
        <w:t xml:space="preserve">nárok na osvobození nebo úlevu od tohoto poplatku zaniká; za nespinění této povinnosti nelze </w:t>
      </w:r>
      <w:r>
        <w:rPr>
          <w:rFonts w:ascii="Times New Roman" w:hAnsi="Times New Roman"/>
          <w:i/>
          <w:color w:val="000000"/>
          <w:sz w:val="20"/>
          <w:lang w:val="cs-CZ"/>
        </w:rPr>
        <w:t>uložit pokutu za nespinění povinnosti nepeněžité povahy.)</w:t>
      </w:r>
    </w:p>
    <w:p w14:paraId="383EA334" w14:textId="77777777" w:rsidR="00675BE1" w:rsidRDefault="00675BE1">
      <w:pPr>
        <w:numPr>
          <w:ilvl w:val="0"/>
          <w:numId w:val="6"/>
        </w:numPr>
        <w:tabs>
          <w:tab w:val="clear" w:pos="144"/>
          <w:tab w:val="decimal" w:pos="216"/>
        </w:tabs>
        <w:spacing w:line="63" w:lineRule="exact"/>
        <w:ind w:left="72"/>
        <w:rPr>
          <w:rFonts w:ascii="Arial" w:hAnsi="Arial"/>
          <w:color w:val="000000"/>
          <w:sz w:val="12"/>
          <w:lang w:val="cs-CZ"/>
        </w:rPr>
      </w:pPr>
    </w:p>
    <w:p w14:paraId="5607E672" w14:textId="77777777" w:rsidR="00675BE1" w:rsidRDefault="00000000">
      <w:pPr>
        <w:spacing w:line="222" w:lineRule="exact"/>
        <w:ind w:left="144"/>
        <w:jc w:val="both"/>
        <w:rPr>
          <w:rFonts w:ascii="Times New Roman" w:hAnsi="Times New Roman"/>
          <w:color w:val="000000"/>
          <w:spacing w:val="3"/>
          <w:sz w:val="20"/>
          <w:lang w:val="cs-CZ"/>
        </w:rPr>
      </w:pP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§ 2 odst. 2 zákona o místních poplatcích </w:t>
      </w:r>
      <w:r>
        <w:rPr>
          <w:rFonts w:ascii="Times New Roman" w:hAnsi="Times New Roman"/>
          <w:i/>
          <w:color w:val="000000"/>
          <w:spacing w:val="3"/>
          <w:sz w:val="20"/>
          <w:lang w:val="cs-CZ"/>
        </w:rPr>
        <w:t xml:space="preserve">(Od poplatku ze psů je osvobozen držitel psa, kterým je osoba </w:t>
      </w:r>
      <w:r>
        <w:rPr>
          <w:rFonts w:ascii="Times New Roman" w:hAnsi="Times New Roman"/>
          <w:i/>
          <w:color w:val="000000"/>
          <w:spacing w:val="1"/>
          <w:sz w:val="20"/>
          <w:lang w:val="cs-CZ"/>
        </w:rPr>
        <w:t xml:space="preserve">nevidomá, osoba, která je považována za závislou na pomoci jiné fyzické osoby podle zákona upravujícího </w:t>
      </w:r>
      <w:r>
        <w:rPr>
          <w:rFonts w:ascii="Times New Roman" w:hAnsi="Times New Roman"/>
          <w:i/>
          <w:color w:val="000000"/>
          <w:spacing w:val="4"/>
          <w:sz w:val="20"/>
          <w:lang w:val="cs-CZ"/>
        </w:rPr>
        <w:t xml:space="preserve">sociální služby, osoba která je držitelem průkazu ZTP nebo ZTP/P, osoba provádějící výcvik psů určených </w:t>
      </w:r>
      <w:r>
        <w:rPr>
          <w:rFonts w:ascii="Times New Roman" w:hAnsi="Times New Roman"/>
          <w:i/>
          <w:color w:val="000000"/>
          <w:spacing w:val="5"/>
          <w:sz w:val="20"/>
          <w:lang w:val="cs-CZ"/>
        </w:rPr>
        <w:t xml:space="preserve">k doprovodu těchto osob, osoba provozující útulek pro zvířata nebo osoba, které stanoví povinnost držení </w:t>
      </w:r>
      <w:r>
        <w:rPr>
          <w:rFonts w:ascii="Times New Roman" w:hAnsi="Times New Roman"/>
          <w:i/>
          <w:color w:val="000000"/>
          <w:sz w:val="20"/>
          <w:lang w:val="cs-CZ"/>
        </w:rPr>
        <w:t>a používání psa zvláštní právní předpis.)</w:t>
      </w:r>
    </w:p>
    <w:p w14:paraId="0820741E" w14:textId="77777777" w:rsidR="00675BE1" w:rsidRPr="008D51A8" w:rsidRDefault="00675BE1">
      <w:pPr>
        <w:rPr>
          <w:lang w:val="cs-CZ"/>
        </w:rPr>
        <w:sectPr w:rsidR="00675BE1" w:rsidRPr="008D51A8" w:rsidSect="0027294F">
          <w:pgSz w:w="11918" w:h="16854"/>
          <w:pgMar w:top="1194" w:right="1341" w:bottom="1230" w:left="1397" w:header="720" w:footer="720" w:gutter="0"/>
          <w:cols w:space="708"/>
        </w:sectPr>
      </w:pPr>
    </w:p>
    <w:p w14:paraId="60134810" w14:textId="77777777" w:rsidR="00675BE1" w:rsidRDefault="00000000">
      <w:pPr>
        <w:spacing w:before="36" w:after="252"/>
        <w:ind w:left="720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lastRenderedPageBreak/>
        <w:t xml:space="preserve">Článek 8 </w:t>
      </w:r>
      <w:r>
        <w:rPr>
          <w:rFonts w:ascii="Times New Roman" w:hAnsi="Times New Roman"/>
          <w:b/>
          <w:color w:val="000000"/>
          <w:sz w:val="23"/>
          <w:lang w:val="cs-CZ"/>
        </w:rPr>
        <w:br/>
        <w:t>Účinnost</w:t>
      </w:r>
    </w:p>
    <w:tbl>
      <w:tblPr>
        <w:tblW w:w="148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740"/>
        <w:gridCol w:w="3861"/>
        <w:gridCol w:w="2191"/>
        <w:gridCol w:w="2191"/>
        <w:gridCol w:w="2191"/>
        <w:gridCol w:w="2191"/>
        <w:gridCol w:w="217"/>
        <w:gridCol w:w="499"/>
      </w:tblGrid>
      <w:tr w:rsidR="008D51A8" w14:paraId="4F491A1E" w14:textId="77777777" w:rsidTr="008D51A8">
        <w:tblPrEx>
          <w:tblCellMar>
            <w:top w:w="0" w:type="dxa"/>
            <w:bottom w:w="0" w:type="dxa"/>
          </w:tblCellMar>
        </w:tblPrEx>
        <w:trPr>
          <w:trHeight w:hRule="exact" w:val="2235"/>
        </w:trPr>
        <w:tc>
          <w:tcPr>
            <w:tcW w:w="539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C06B3F" w14:textId="77777777" w:rsidR="008D51A8" w:rsidRDefault="008D51A8">
            <w:pPr>
              <w:ind w:right="706"/>
              <w:jc w:val="right"/>
              <w:rPr>
                <w:rFonts w:ascii="Times New Roman" w:hAnsi="Times New Roman"/>
                <w:color w:val="000000"/>
                <w:spacing w:val="1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"/>
                <w:sz w:val="23"/>
                <w:lang w:val="cs-CZ"/>
              </w:rPr>
              <w:t>Tato vyhláška nabývá účinnosti dnem 1. 1. 2020.</w:t>
            </w:r>
          </w:p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B048AE" w14:textId="77777777" w:rsidR="008D51A8" w:rsidRDefault="008D51A8">
            <w:pPr>
              <w:spacing w:before="2124" w:line="758" w:lineRule="exact"/>
              <w:ind w:right="348"/>
              <w:jc w:val="right"/>
              <w:rPr>
                <w:rFonts w:ascii="Arial" w:hAnsi="Arial"/>
                <w:color w:val="175ED5"/>
                <w:sz w:val="6"/>
                <w:lang w:val="cs-CZ"/>
              </w:rPr>
            </w:pPr>
          </w:p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A74853" w14:textId="77777777" w:rsidR="008D51A8" w:rsidRDefault="008D51A8">
            <w:pPr>
              <w:spacing w:before="2124" w:line="758" w:lineRule="exact"/>
              <w:ind w:right="348"/>
              <w:jc w:val="right"/>
              <w:rPr>
                <w:rFonts w:ascii="Arial" w:hAnsi="Arial"/>
                <w:color w:val="175ED5"/>
                <w:sz w:val="6"/>
                <w:lang w:val="cs-CZ"/>
              </w:rPr>
            </w:pPr>
          </w:p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7B988D" w14:textId="77777777" w:rsidR="008D51A8" w:rsidRDefault="008D51A8">
            <w:pPr>
              <w:spacing w:before="2124" w:line="758" w:lineRule="exact"/>
              <w:ind w:right="348"/>
              <w:jc w:val="right"/>
              <w:rPr>
                <w:rFonts w:ascii="Arial" w:hAnsi="Arial"/>
                <w:color w:val="175ED5"/>
                <w:sz w:val="6"/>
                <w:lang w:val="cs-CZ"/>
              </w:rPr>
            </w:pPr>
          </w:p>
        </w:tc>
        <w:tc>
          <w:tcPr>
            <w:tcW w:w="219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6DF3D23" w14:textId="51E7ECFD" w:rsidR="008D51A8" w:rsidRDefault="008D51A8">
            <w:pPr>
              <w:spacing w:before="2124" w:line="758" w:lineRule="exact"/>
              <w:ind w:right="348"/>
              <w:jc w:val="right"/>
              <w:rPr>
                <w:rFonts w:ascii="Arial" w:hAnsi="Arial"/>
                <w:color w:val="175ED5"/>
                <w:sz w:val="6"/>
                <w:lang w:val="cs-CZ"/>
              </w:rPr>
            </w:pPr>
            <w:r>
              <w:rPr>
                <w:rFonts w:ascii="Arial" w:hAnsi="Arial"/>
                <w:color w:val="175ED5"/>
                <w:sz w:val="6"/>
                <w:lang w:val="cs-CZ"/>
              </w:rPr>
              <w:t>(</w:t>
            </w:r>
          </w:p>
          <w:p w14:paraId="0D3914C0" w14:textId="300F2A7A" w:rsidR="008D51A8" w:rsidRDefault="008D51A8">
            <w:pPr>
              <w:spacing w:before="216" w:line="433" w:lineRule="exact"/>
              <w:ind w:right="348"/>
              <w:jc w:val="right"/>
              <w:rPr>
                <w:rFonts w:ascii="Times New Roman" w:hAnsi="Times New Roman"/>
                <w:color w:val="175ED5"/>
                <w:w w:val="70"/>
                <w:sz w:val="39"/>
                <w:lang w:val="cs-CZ"/>
              </w:rPr>
            </w:pPr>
          </w:p>
        </w:tc>
        <w:tc>
          <w:tcPr>
            <w:tcW w:w="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DDC398" w14:textId="77777777" w:rsidR="008D51A8" w:rsidRDefault="008D51A8"/>
        </w:tc>
        <w:tc>
          <w:tcPr>
            <w:tcW w:w="4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A580C1" w14:textId="77777777" w:rsidR="008D51A8" w:rsidRDefault="008D51A8"/>
        </w:tc>
      </w:tr>
      <w:tr w:rsidR="008D51A8" w14:paraId="7EB70E67" w14:textId="77777777" w:rsidTr="008D51A8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7BDEF8" w14:textId="77777777" w:rsidR="008D51A8" w:rsidRDefault="008D51A8"/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14:paraId="2525A36A" w14:textId="77777777" w:rsidR="008D51A8" w:rsidRDefault="008D51A8"/>
        </w:tc>
        <w:tc>
          <w:tcPr>
            <w:tcW w:w="386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FAF2C0" w14:textId="50DD4703" w:rsidR="008D51A8" w:rsidRDefault="008D51A8">
            <w:pPr>
              <w:spacing w:after="11"/>
              <w:ind w:right="702"/>
            </w:pPr>
          </w:p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14:paraId="2E35DFC3" w14:textId="77777777" w:rsidR="008D51A8" w:rsidRDefault="008D51A8"/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14:paraId="7989C580" w14:textId="77777777" w:rsidR="008D51A8" w:rsidRDefault="008D51A8"/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14:paraId="5A67846F" w14:textId="77777777" w:rsidR="008D51A8" w:rsidRDefault="008D51A8"/>
        </w:tc>
        <w:tc>
          <w:tcPr>
            <w:tcW w:w="2191" w:type="dxa"/>
            <w:vMerge/>
            <w:tcBorders>
              <w:top w:val="none" w:sz="0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  <w:vAlign w:val="bottom"/>
          </w:tcPr>
          <w:p w14:paraId="493F700A" w14:textId="25982F9E" w:rsidR="008D51A8" w:rsidRDefault="008D51A8"/>
        </w:tc>
        <w:tc>
          <w:tcPr>
            <w:tcW w:w="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BA03A1" w14:textId="77777777" w:rsidR="008D51A8" w:rsidRDefault="008D51A8"/>
        </w:tc>
        <w:tc>
          <w:tcPr>
            <w:tcW w:w="499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782A02B7" w14:textId="77777777" w:rsidR="008D51A8" w:rsidRDefault="008D51A8"/>
        </w:tc>
      </w:tr>
      <w:tr w:rsidR="008D51A8" w14:paraId="660A82BC" w14:textId="77777777" w:rsidTr="008D51A8">
        <w:tblPrEx>
          <w:tblCellMar>
            <w:top w:w="0" w:type="dxa"/>
            <w:bottom w:w="0" w:type="dxa"/>
          </w:tblCellMar>
        </w:tblPrEx>
        <w:trPr>
          <w:trHeight w:hRule="exact" w:val="119"/>
        </w:trPr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B08339" w14:textId="77777777" w:rsidR="008D51A8" w:rsidRDefault="008D51A8"/>
        </w:tc>
        <w:tc>
          <w:tcPr>
            <w:tcW w:w="740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A6FAA6" w14:textId="77777777" w:rsidR="008D51A8" w:rsidRDefault="008D51A8"/>
        </w:tc>
        <w:tc>
          <w:tcPr>
            <w:tcW w:w="386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EA7D15" w14:textId="77777777" w:rsidR="008D51A8" w:rsidRDefault="008D51A8"/>
        </w:tc>
        <w:tc>
          <w:tcPr>
            <w:tcW w:w="2191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7AF7DC" w14:textId="77777777" w:rsidR="008D51A8" w:rsidRDefault="008D51A8"/>
        </w:tc>
        <w:tc>
          <w:tcPr>
            <w:tcW w:w="2191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20C483" w14:textId="77777777" w:rsidR="008D51A8" w:rsidRDefault="008D51A8"/>
        </w:tc>
        <w:tc>
          <w:tcPr>
            <w:tcW w:w="2191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845196" w14:textId="77777777" w:rsidR="008D51A8" w:rsidRDefault="008D51A8"/>
        </w:tc>
        <w:tc>
          <w:tcPr>
            <w:tcW w:w="2191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CD731B" w14:textId="50506D77" w:rsidR="008D51A8" w:rsidRDefault="008D51A8"/>
        </w:tc>
        <w:tc>
          <w:tcPr>
            <w:tcW w:w="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C5C2E7" w14:textId="77777777" w:rsidR="008D51A8" w:rsidRDefault="008D51A8"/>
        </w:tc>
        <w:tc>
          <w:tcPr>
            <w:tcW w:w="499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D2E790" w14:textId="77777777" w:rsidR="008D51A8" w:rsidRDefault="008D51A8"/>
        </w:tc>
      </w:tr>
    </w:tbl>
    <w:p w14:paraId="3C465737" w14:textId="1BA327B7" w:rsidR="00675BE1" w:rsidRDefault="00000000">
      <w:pPr>
        <w:tabs>
          <w:tab w:val="left" w:pos="1951"/>
          <w:tab w:val="right" w:pos="7409"/>
        </w:tabs>
        <w:ind w:left="115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Ing</w:t>
      </w:r>
      <w:r w:rsidR="008D51A8">
        <w:rPr>
          <w:rFonts w:ascii="Times New Roman" w:hAnsi="Times New Roman"/>
          <w:color w:val="000000"/>
          <w:sz w:val="23"/>
          <w:lang w:val="cs-CZ"/>
        </w:rPr>
        <w:t>.Vla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>dimír Záborec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ab/>
      </w:r>
      <w:r>
        <w:rPr>
          <w:rFonts w:ascii="Times New Roman" w:hAnsi="Times New Roman"/>
          <w:color w:val="000000"/>
          <w:sz w:val="23"/>
          <w:lang w:val="cs-CZ"/>
        </w:rPr>
        <w:t>Tomáš Ekrt</w:t>
      </w:r>
    </w:p>
    <w:p w14:paraId="718CA88D" w14:textId="77777777" w:rsidR="00675BE1" w:rsidRDefault="00000000">
      <w:pPr>
        <w:tabs>
          <w:tab w:val="right" w:pos="7211"/>
        </w:tabs>
        <w:spacing w:after="216" w:line="206" w:lineRule="auto"/>
        <w:ind w:left="1584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místostarosta</w:t>
      </w:r>
      <w:r>
        <w:rPr>
          <w:rFonts w:ascii="Times New Roman" w:hAnsi="Times New Roman"/>
          <w:color w:val="000000"/>
          <w:sz w:val="23"/>
          <w:lang w:val="cs-CZ"/>
        </w:rPr>
        <w:tab/>
        <w:t>starosta</w:t>
      </w:r>
    </w:p>
    <w:p w14:paraId="3C2B25AE" w14:textId="77777777" w:rsidR="00675BE1" w:rsidRDefault="00000000">
      <w:pPr>
        <w:spacing w:after="4176"/>
        <w:ind w:left="3744" w:right="2774"/>
      </w:pPr>
      <w:r>
        <w:rPr>
          <w:noProof/>
        </w:rPr>
        <w:drawing>
          <wp:inline distT="0" distB="0" distL="0" distR="0" wp14:anchorId="0FF437AE" wp14:editId="2708B9D2">
            <wp:extent cx="1095375" cy="109982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623"/>
        <w:gridCol w:w="349"/>
        <w:gridCol w:w="4034"/>
      </w:tblGrid>
      <w:tr w:rsidR="00675BE1" w14:paraId="7B7E00D4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32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E5152CF" w14:textId="77777777" w:rsidR="00675BE1" w:rsidRDefault="00000000">
            <w:pPr>
              <w:spacing w:before="360"/>
              <w:ind w:left="43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Vyvěšeno na úřední desce dne: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0E2BDCA" w14:textId="77777777" w:rsidR="00675BE1" w:rsidRDefault="00000000">
            <w:pPr>
              <w:spacing w:before="360"/>
              <w:ind w:right="51"/>
              <w:jc w:val="right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10.</w:t>
            </w:r>
          </w:p>
        </w:tc>
        <w:tc>
          <w:tcPr>
            <w:tcW w:w="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597F27B" w14:textId="77777777" w:rsidR="00675BE1" w:rsidRDefault="00000000">
            <w:pPr>
              <w:spacing w:before="360"/>
              <w:jc w:val="center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12.</w:t>
            </w:r>
          </w:p>
        </w:tc>
        <w:tc>
          <w:tcPr>
            <w:tcW w:w="4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13E3B83" w14:textId="77777777" w:rsidR="00675BE1" w:rsidRDefault="00000000">
            <w:pPr>
              <w:spacing w:before="360"/>
              <w:ind w:right="3534"/>
              <w:jc w:val="right"/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  <w:t>2019</w:t>
            </w:r>
          </w:p>
        </w:tc>
      </w:tr>
      <w:tr w:rsidR="00675BE1" w14:paraId="0DD8E8CF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32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F2C91E" w14:textId="77777777" w:rsidR="00675BE1" w:rsidRDefault="00000000">
            <w:pPr>
              <w:ind w:left="43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Sejmuto z úřední desky dne:</w:t>
            </w:r>
          </w:p>
        </w:tc>
        <w:tc>
          <w:tcPr>
            <w:tcW w:w="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1A405E" w14:textId="77777777" w:rsidR="00675BE1" w:rsidRDefault="00000000">
            <w:pPr>
              <w:ind w:right="51"/>
              <w:jc w:val="right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25.</w:t>
            </w:r>
          </w:p>
        </w:tc>
        <w:tc>
          <w:tcPr>
            <w:tcW w:w="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242007" w14:textId="77777777" w:rsidR="00675BE1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12.</w:t>
            </w:r>
          </w:p>
        </w:tc>
        <w:tc>
          <w:tcPr>
            <w:tcW w:w="4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ED8A21" w14:textId="77777777" w:rsidR="00675BE1" w:rsidRDefault="00000000">
            <w:pPr>
              <w:ind w:right="3534"/>
              <w:jc w:val="right"/>
              <w:rPr>
                <w:rFonts w:ascii="Times New Roman" w:hAnsi="Times New Roman"/>
                <w:color w:val="000000"/>
                <w:spacing w:val="-6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lang w:val="cs-CZ"/>
              </w:rPr>
              <w:t>2019</w:t>
            </w:r>
          </w:p>
        </w:tc>
      </w:tr>
    </w:tbl>
    <w:p w14:paraId="5568185A" w14:textId="77777777" w:rsidR="0027294F" w:rsidRDefault="0027294F"/>
    <w:sectPr w:rsidR="0027294F">
      <w:pgSz w:w="11918" w:h="16854"/>
      <w:pgMar w:top="1472" w:right="1734" w:bottom="2552" w:left="18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5D5"/>
    <w:multiLevelType w:val="multilevel"/>
    <w:tmpl w:val="8CCE64B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25CCA"/>
    <w:multiLevelType w:val="multilevel"/>
    <w:tmpl w:val="D92AC2A2"/>
    <w:lvl w:ilvl="0">
      <w:start w:val="5"/>
      <w:numFmt w:val="decimal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D22A42"/>
    <w:multiLevelType w:val="multilevel"/>
    <w:tmpl w:val="D7068F8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i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035C5E"/>
    <w:multiLevelType w:val="multilevel"/>
    <w:tmpl w:val="AD78424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DD08E9"/>
    <w:multiLevelType w:val="multilevel"/>
    <w:tmpl w:val="05E46FA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380738"/>
    <w:multiLevelType w:val="multilevel"/>
    <w:tmpl w:val="24DA262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4054238">
    <w:abstractNumId w:val="5"/>
  </w:num>
  <w:num w:numId="2" w16cid:durableId="1263102496">
    <w:abstractNumId w:val="3"/>
  </w:num>
  <w:num w:numId="3" w16cid:durableId="206838543">
    <w:abstractNumId w:val="4"/>
  </w:num>
  <w:num w:numId="4" w16cid:durableId="1393190684">
    <w:abstractNumId w:val="2"/>
  </w:num>
  <w:num w:numId="5" w16cid:durableId="626474078">
    <w:abstractNumId w:val="0"/>
  </w:num>
  <w:num w:numId="6" w16cid:durableId="190421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E1"/>
    <w:rsid w:val="0027294F"/>
    <w:rsid w:val="00675BE1"/>
    <w:rsid w:val="008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9EBE"/>
  <w15:docId w15:val="{E28162AB-9DD8-44D7-ACCF-8CCB452B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809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2024-01-15T07:05:00Z</dcterms:created>
  <dcterms:modified xsi:type="dcterms:W3CDTF">2024-01-15T07:05:00Z</dcterms:modified>
</cp:coreProperties>
</file>