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6"/>
          <w:szCs w:val="26"/>
        </w:rPr>
      </w:pPr>
      <w:r>
        <w:rPr>
          <w:b/>
          <w:bCs/>
          <w:sz w:val="26"/>
          <w:szCs w:val="26"/>
        </w:rPr>
      </w:r>
    </w:p>
    <w:p>
      <w:pPr>
        <w:pStyle w:val="Normal"/>
        <w:jc w:val="center"/>
        <w:rPr>
          <w:b/>
          <w:b/>
          <w:bCs/>
          <w:color w:val="0070C0"/>
          <w:sz w:val="26"/>
          <w:szCs w:val="26"/>
        </w:rPr>
      </w:pPr>
      <w:r>
        <w:rPr>
          <w:b/>
          <w:bCs/>
          <w:color w:val="0070C0"/>
          <w:sz w:val="26"/>
          <w:szCs w:val="26"/>
        </w:rPr>
        <w:t>Obec Krty</w:t>
      </w:r>
    </w:p>
    <w:p>
      <w:pPr>
        <w:pStyle w:val="Normal"/>
        <w:jc w:val="center"/>
        <w:rPr>
          <w:b/>
          <w:b/>
          <w:bCs/>
          <w:sz w:val="26"/>
          <w:szCs w:val="26"/>
        </w:rPr>
      </w:pPr>
      <w:r>
        <w:rPr>
          <w:b/>
          <w:bCs/>
          <w:sz w:val="26"/>
          <w:szCs w:val="26"/>
        </w:rPr>
      </w:r>
    </w:p>
    <w:p>
      <w:pPr>
        <w:pStyle w:val="Normal"/>
        <w:rPr>
          <w:sz w:val="26"/>
          <w:szCs w:val="26"/>
        </w:rPr>
      </w:pPr>
      <w:r>
        <w:rPr>
          <w:b/>
          <w:bCs/>
          <w:sz w:val="26"/>
          <w:szCs w:val="26"/>
        </w:rPr>
        <w:t>_____________________________________________________________________</w:t>
      </w:r>
    </w:p>
    <w:p>
      <w:pPr>
        <w:pStyle w:val="Zhlav"/>
        <w:tabs>
          <w:tab w:val="clear" w:pos="4536"/>
          <w:tab w:val="clear" w:pos="9072"/>
        </w:tabs>
        <w:rPr/>
      </w:pPr>
      <w:r>
        <w:rPr/>
      </w:r>
    </w:p>
    <w:p>
      <w:pPr>
        <w:pStyle w:val="Zhlav"/>
        <w:tabs>
          <w:tab w:val="clear" w:pos="4536"/>
          <w:tab w:val="clear" w:pos="9072"/>
        </w:tabs>
        <w:rPr/>
      </w:pPr>
      <w:r>
        <w:rPr/>
      </w:r>
    </w:p>
    <w:p>
      <w:pPr>
        <w:pStyle w:val="Normal"/>
        <w:spacing w:lineRule="auto" w:line="276"/>
        <w:jc w:val="center"/>
        <w:rPr>
          <w:rFonts w:ascii="Arial" w:hAnsi="Arial" w:cs="Arial"/>
          <w:b/>
          <w:b/>
          <w:color w:val="000000" w:themeColor="text1"/>
        </w:rPr>
      </w:pPr>
      <w:r>
        <w:rPr>
          <w:rFonts w:cs="Arial" w:ascii="Arial" w:hAnsi="Arial"/>
          <w:b/>
        </w:rPr>
        <w:t xml:space="preserve">OBEC </w:t>
      </w:r>
      <w:r>
        <w:rPr>
          <w:rFonts w:cs="Arial" w:ascii="Arial" w:hAnsi="Arial"/>
          <w:b/>
          <w:color w:val="000000" w:themeColor="text1"/>
        </w:rPr>
        <w:t xml:space="preserve">KRTY </w:t>
      </w:r>
    </w:p>
    <w:p>
      <w:pPr>
        <w:pStyle w:val="Normal"/>
        <w:spacing w:lineRule="auto" w:line="276"/>
        <w:jc w:val="center"/>
        <w:rPr>
          <w:rFonts w:ascii="Arial" w:hAnsi="Arial" w:cs="Arial"/>
          <w:b/>
          <w:b/>
        </w:rPr>
      </w:pPr>
      <w:r>
        <w:rPr>
          <w:rFonts w:cs="Arial" w:ascii="Arial" w:hAnsi="Arial"/>
          <w:b/>
        </w:rPr>
        <w:t>Zastupitelstvo obce Krty</w:t>
      </w:r>
    </w:p>
    <w:p>
      <w:pPr>
        <w:pStyle w:val="Normal"/>
        <w:spacing w:lineRule="auto" w:line="276"/>
        <w:jc w:val="center"/>
        <w:rPr/>
      </w:pPr>
      <w:r>
        <w:rPr>
          <w:rFonts w:cs="Arial" w:ascii="Arial" w:hAnsi="Arial"/>
          <w:b/>
        </w:rPr>
        <w:t>Obecně závazná vyhláška obce Krty č. 1/202</w:t>
      </w:r>
      <w:r>
        <w:rPr>
          <w:rFonts w:cs="Arial" w:ascii="Arial" w:hAnsi="Arial"/>
          <w:b/>
        </w:rPr>
        <w:t>2</w:t>
      </w:r>
      <w:r>
        <w:rPr>
          <w:rFonts w:cs="Arial" w:ascii="Arial" w:hAnsi="Arial"/>
          <w:b/>
        </w:rPr>
        <w:t>,</w:t>
      </w:r>
    </w:p>
    <w:p>
      <w:pPr>
        <w:pStyle w:val="Normal"/>
        <w:jc w:val="center"/>
        <w:rPr>
          <w:rFonts w:ascii="Arial" w:hAnsi="Arial" w:cs="Arial"/>
          <w:b/>
          <w:b/>
        </w:rPr>
      </w:pPr>
      <w:r>
        <w:rPr>
          <w:rFonts w:cs="Arial" w:ascii="Arial" w:hAnsi="Arial"/>
          <w:b/>
        </w:rPr>
        <w:t xml:space="preserve">o místním poplatku za  odkládání komunálního odpadu z nemovité věci </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pPr>
      <w:r>
        <w:rPr>
          <w:rFonts w:cs="Arial" w:ascii="Arial" w:hAnsi="Arial"/>
          <w:b w:val="false"/>
          <w:sz w:val="22"/>
          <w:szCs w:val="22"/>
        </w:rPr>
        <w:t xml:space="preserve">Zastupitelstvo obce Krty se na svém zasedání dne </w:t>
      </w:r>
      <w:r>
        <w:rPr>
          <w:rFonts w:cs="Arial" w:ascii="Arial" w:hAnsi="Arial"/>
          <w:b w:val="false"/>
          <w:sz w:val="22"/>
          <w:szCs w:val="22"/>
        </w:rPr>
        <w:t>15.12.2022</w:t>
      </w:r>
      <w:r>
        <w:rPr>
          <w:rFonts w:cs="Arial" w:ascii="Arial" w:hAnsi="Arial"/>
          <w:b w:val="false"/>
          <w:sz w:val="22"/>
          <w:szCs w:val="22"/>
        </w:rPr>
        <w:t xml:space="preserve"> usnesením č. </w:t>
      </w:r>
      <w:r>
        <w:rPr>
          <w:rFonts w:cs="Arial" w:ascii="Arial" w:hAnsi="Arial"/>
          <w:b w:val="false"/>
          <w:sz w:val="22"/>
          <w:szCs w:val="22"/>
        </w:rPr>
        <w:t>2</w:t>
      </w:r>
      <w:r>
        <w:rPr>
          <w:rFonts w:cs="Arial" w:ascii="Arial" w:hAnsi="Arial"/>
          <w:b w:val="false"/>
          <w:sz w:val="22"/>
          <w:szCs w:val="22"/>
        </w:rPr>
        <w:t>/202</w:t>
      </w:r>
      <w:r>
        <w:rPr>
          <w:rFonts w:cs="Arial" w:ascii="Arial" w:hAnsi="Arial"/>
          <w:b w:val="false"/>
          <w:sz w:val="22"/>
          <w:szCs w:val="22"/>
        </w:rPr>
        <w:t>2</w:t>
      </w:r>
      <w:r>
        <w:rPr>
          <w:rFonts w:cs="Arial" w:ascii="Arial" w:hAnsi="Arial"/>
          <w:b w:val="false"/>
          <w:sz w:val="22"/>
          <w:szCs w:val="22"/>
        </w:rPr>
        <w:t xml:space="preserve">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Krty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Úřad obce Krty.</w:t>
      </w:r>
      <w:r>
        <w:rPr>
          <w:rStyle w:val="Ukotvenpoznmkypodarou"/>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 xml:space="preserve">Předmět poplatku, poplatník a plátce poplatku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Předmětem poplatku je odkládání směsného komunálního odpadu z jednotlivé nemovité věci zahrnující byt, rodinný dům nebo stavbu pro rodinnou rekreaci, která se nachází na území obce.</w:t>
      </w:r>
      <w:r>
        <w:rPr>
          <w:rFonts w:cs="Arial" w:ascii="Arial" w:hAnsi="Arial"/>
          <w:sz w:val="22"/>
          <w:szCs w:val="22"/>
          <w:vertAlign w:val="superscript"/>
        </w:rPr>
        <w:t xml:space="preserve"> </w:t>
      </w:r>
      <w:r>
        <w:rPr>
          <w:rStyle w:val="Ukotvenpoznmkypodarou"/>
          <w:rStyle w:val="Ukotvenpoznmkypodarou"/>
          <w:rFonts w:cs="Arial" w:ascii="Arial" w:hAnsi="Arial"/>
          <w:sz w:val="22"/>
          <w:szCs w:val="22"/>
          <w:vertAlign w:val="superscript"/>
        </w:rPr>
        <w:footnoteReference w:id="3"/>
      </w:r>
      <w:r>
        <w:rPr>
          <w:rFonts w:cs="Arial" w:ascii="Arial" w:hAnsi="Arial"/>
          <w:sz w:val="22"/>
          <w:szCs w:val="22"/>
        </w:rPr>
        <w:t xml:space="preserve">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Poplatníkem poplatku je</w:t>
      </w:r>
      <w:r>
        <w:rPr>
          <w:rStyle w:val="Ukotvenpoznmkypodarou"/>
          <w:rStyle w:val="Ukotvenpoznmkypodarou"/>
          <w:rFonts w:cs="Arial" w:ascii="Arial" w:hAnsi="Arial"/>
          <w:sz w:val="22"/>
          <w:szCs w:val="22"/>
        </w:rPr>
        <w:footnoteReference w:id="4"/>
      </w:r>
      <w:r>
        <w:rPr>
          <w:rFonts w:cs="Arial" w:ascii="Arial" w:hAnsi="Arial"/>
          <w:sz w:val="22"/>
          <w:szCs w:val="22"/>
        </w:rPr>
        <w:t>:</w:t>
      </w:r>
    </w:p>
    <w:p>
      <w:pPr>
        <w:pStyle w:val="Default"/>
        <w:numPr>
          <w:ilvl w:val="1"/>
          <w:numId w:val="8"/>
        </w:numPr>
        <w:spacing w:before="0" w:after="53"/>
        <w:jc w:val="both"/>
        <w:rPr>
          <w:sz w:val="22"/>
          <w:szCs w:val="22"/>
        </w:rPr>
      </w:pPr>
      <w:r>
        <w:rPr>
          <w:sz w:val="22"/>
          <w:szCs w:val="22"/>
        </w:rPr>
        <w:t xml:space="preserve">fyzická osoba, která má v nemovité věci bydliště, nebo  </w:t>
      </w:r>
    </w:p>
    <w:p>
      <w:pPr>
        <w:pStyle w:val="Default"/>
        <w:numPr>
          <w:ilvl w:val="1"/>
          <w:numId w:val="8"/>
        </w:numPr>
        <w:jc w:val="both"/>
        <w:rPr>
          <w:sz w:val="22"/>
          <w:szCs w:val="22"/>
        </w:rPr>
      </w:pPr>
      <w:r>
        <w:rPr>
          <w:sz w:val="22"/>
          <w:szCs w:val="22"/>
        </w:rPr>
        <w:t xml:space="preserve">vlastník nemovité věci, ve které nemá bydliště žádná fyzická osoba. </w:t>
      </w:r>
    </w:p>
    <w:p>
      <w:pPr>
        <w:pStyle w:val="Default"/>
        <w:numPr>
          <w:ilvl w:val="0"/>
          <w:numId w:val="8"/>
        </w:numPr>
        <w:jc w:val="both"/>
        <w:rPr>
          <w:sz w:val="22"/>
          <w:szCs w:val="22"/>
        </w:rPr>
      </w:pPr>
      <w:r>
        <w:rPr>
          <w:sz w:val="22"/>
          <w:szCs w:val="22"/>
        </w:rPr>
        <w:t>Plátce poplatku je</w:t>
      </w:r>
      <w:r>
        <w:rPr>
          <w:rStyle w:val="Ukotvenpoznmkypodarou"/>
          <w:rStyle w:val="Ukotvenpoznmkypodarou"/>
          <w:sz w:val="22"/>
          <w:szCs w:val="22"/>
          <w:vertAlign w:val="superscript"/>
        </w:rPr>
        <w:footnoteReference w:id="5"/>
      </w:r>
    </w:p>
    <w:p>
      <w:pPr>
        <w:pStyle w:val="Default"/>
        <w:numPr>
          <w:ilvl w:val="1"/>
          <w:numId w:val="8"/>
        </w:numPr>
        <w:jc w:val="both"/>
        <w:rPr>
          <w:sz w:val="22"/>
          <w:szCs w:val="22"/>
        </w:rPr>
      </w:pPr>
      <w:r>
        <w:rPr>
          <w:sz w:val="22"/>
          <w:szCs w:val="22"/>
        </w:rPr>
        <w:t>společenství vlastníků jednotek, pokud pro dům vzniklo, nebo</w:t>
      </w:r>
    </w:p>
    <w:p>
      <w:pPr>
        <w:pStyle w:val="Default"/>
        <w:numPr>
          <w:ilvl w:val="1"/>
          <w:numId w:val="8"/>
        </w:numPr>
        <w:jc w:val="both"/>
        <w:rPr>
          <w:sz w:val="22"/>
          <w:szCs w:val="22"/>
        </w:rPr>
      </w:pPr>
      <w:r>
        <w:rPr>
          <w:sz w:val="22"/>
          <w:szCs w:val="22"/>
        </w:rPr>
        <w:t>vlastník nemovité věci v ostatních případech.</w:t>
      </w:r>
    </w:p>
    <w:p>
      <w:pPr>
        <w:pStyle w:val="Default"/>
        <w:numPr>
          <w:ilvl w:val="0"/>
          <w:numId w:val="8"/>
        </w:numPr>
        <w:jc w:val="both"/>
        <w:rPr>
          <w:sz w:val="22"/>
          <w:szCs w:val="22"/>
        </w:rPr>
      </w:pPr>
      <w:r>
        <w:rPr>
          <w:sz w:val="22"/>
          <w:szCs w:val="22"/>
        </w:rPr>
        <w:t>Plátce poplatku je povinen vybrat poplatek od poplatníka</w:t>
      </w:r>
      <w:r>
        <w:rPr>
          <w:rStyle w:val="Ukotvenpoznmkypodarou"/>
          <w:rStyle w:val="Ukotvenpoznmkypodarou"/>
          <w:sz w:val="22"/>
          <w:szCs w:val="22"/>
          <w:vertAlign w:val="superscript"/>
        </w:rPr>
        <w:footnoteReference w:id="6"/>
      </w:r>
      <w:r>
        <w:rPr>
          <w:sz w:val="22"/>
          <w:szCs w:val="22"/>
        </w:rPr>
        <w:t xml:space="preserve">. </w:t>
      </w:r>
    </w:p>
    <w:p>
      <w:pPr>
        <w:pStyle w:val="Default"/>
        <w:numPr>
          <w:ilvl w:val="0"/>
          <w:numId w:val="8"/>
        </w:numPr>
        <w:jc w:val="both"/>
        <w:rPr>
          <w:sz w:val="22"/>
          <w:szCs w:val="22"/>
        </w:rPr>
      </w:pPr>
      <w:r>
        <w:rPr>
          <w:sz w:val="22"/>
          <w:szCs w:val="22"/>
        </w:rPr>
        <w:t>Spoluvlastníci nemovité věci zahrnují byt, rodinný dům nebo stavbu pro rodinnou rekreaci jsou povinni plnit poplatkovou povinnost společně a nerozdílně</w:t>
      </w:r>
      <w:r>
        <w:rPr>
          <w:rStyle w:val="Ukotvenpoznmkypodarou"/>
          <w:rStyle w:val="Ukotvenpoznmkypodarou"/>
          <w:sz w:val="22"/>
          <w:szCs w:val="22"/>
          <w:vertAlign w:val="superscript"/>
        </w:rPr>
        <w:footnoteReference w:id="7"/>
      </w:r>
      <w:r>
        <w:rPr>
          <w:sz w:val="22"/>
          <w:szCs w:val="22"/>
        </w:rPr>
        <w:t xml:space="preserve">. </w:t>
      </w:r>
    </w:p>
    <w:p>
      <w:pPr>
        <w:pStyle w:val="Default"/>
        <w:ind w:left="567" w:hanging="0"/>
        <w:jc w:val="both"/>
        <w:rPr>
          <w:sz w:val="22"/>
          <w:szCs w:val="22"/>
        </w:rPr>
      </w:pPr>
      <w:r>
        <w:rPr>
          <w:sz w:val="22"/>
          <w:szCs w:val="22"/>
        </w:rPr>
      </w:r>
    </w:p>
    <w:p>
      <w:pPr>
        <w:pStyle w:val="Default"/>
        <w:jc w:val="both"/>
        <w:rPr>
          <w:sz w:val="22"/>
          <w:szCs w:val="22"/>
        </w:rPr>
      </w:pPr>
      <w:r>
        <w:rPr>
          <w:sz w:val="22"/>
          <w:szCs w:val="22"/>
        </w:rPr>
      </w:r>
    </w:p>
    <w:p>
      <w:pPr>
        <w:pStyle w:val="Default"/>
        <w:ind w:left="2340" w:hanging="0"/>
        <w:jc w:val="both"/>
        <w:rPr>
          <w:sz w:val="22"/>
          <w:szCs w:val="22"/>
        </w:rPr>
      </w:pPr>
      <w:r>
        <w:rPr>
          <w:sz w:val="22"/>
          <w:szCs w:val="22"/>
        </w:rPr>
      </w:r>
    </w:p>
    <w:p>
      <w:pPr>
        <w:pStyle w:val="Default"/>
        <w:jc w:val="both"/>
        <w:rPr>
          <w:sz w:val="22"/>
          <w:szCs w:val="22"/>
        </w:rPr>
      </w:pPr>
      <w:r>
        <w:rPr>
          <w:sz w:val="22"/>
          <w:szCs w:val="22"/>
        </w:rPr>
      </w:r>
    </w:p>
    <w:p>
      <w:pPr>
        <w:pStyle w:val="Default"/>
        <w:ind w:left="567" w:hanging="0"/>
        <w:jc w:val="both"/>
        <w:rPr>
          <w:sz w:val="22"/>
          <w:szCs w:val="22"/>
        </w:rPr>
      </w:pPr>
      <w:r>
        <w:rPr>
          <w:sz w:val="22"/>
          <w:szCs w:val="22"/>
        </w:rPr>
      </w:r>
    </w:p>
    <w:p>
      <w:pPr>
        <w:pStyle w:val="Default"/>
        <w:jc w:val="both"/>
        <w:rPr>
          <w:sz w:val="22"/>
          <w:szCs w:val="22"/>
        </w:rPr>
      </w:pPr>
      <w:r>
        <w:rPr>
          <w:sz w:val="22"/>
          <w:szCs w:val="22"/>
        </w:rPr>
      </w:r>
    </w:p>
    <w:p>
      <w:pPr>
        <w:pStyle w:val="Slalnk"/>
        <w:spacing w:before="480" w:after="60"/>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Slalnk"/>
        <w:spacing w:before="480" w:after="60"/>
        <w:ind w:firstLine="708"/>
        <w:jc w:val="both"/>
        <w:rPr>
          <w:rFonts w:ascii="Arial" w:hAnsi="Arial" w:cs="Arial"/>
          <w:b w:val="false"/>
          <w:b w:val="false"/>
          <w:bCs w:val="false"/>
          <w:sz w:val="22"/>
          <w:szCs w:val="22"/>
        </w:rPr>
      </w:pPr>
      <w:r>
        <w:rPr>
          <w:rFonts w:cs="Arial" w:ascii="Arial" w:hAnsi="Arial"/>
          <w:b w:val="false"/>
          <w:bCs w:val="false"/>
          <w:sz w:val="22"/>
          <w:szCs w:val="22"/>
        </w:rPr>
        <w:t>Poplatkovým obdobím poplatku je kalendářní rok.</w:t>
      </w:r>
      <w:r>
        <w:rPr>
          <w:rStyle w:val="Ukotvenpoznmkypodarou"/>
          <w:rStyle w:val="Ukotvenpoznmkypodarou"/>
          <w:rFonts w:cs="Arial" w:ascii="Arial" w:hAnsi="Arial"/>
          <w:b w:val="false"/>
          <w:bCs w:val="false"/>
          <w:sz w:val="22"/>
          <w:szCs w:val="22"/>
        </w:rPr>
        <w:footnoteReference w:id="8"/>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6"/>
        </w:numPr>
        <w:spacing w:lineRule="auto" w:line="264" w:before="120" w:after="0"/>
        <w:jc w:val="both"/>
        <w:rPr>
          <w:rFonts w:ascii="Arial" w:hAnsi="Arial" w:cs="Arial"/>
          <w:color w:val="0070C0"/>
          <w:sz w:val="20"/>
          <w:szCs w:val="20"/>
        </w:rPr>
      </w:pPr>
      <w:r>
        <w:rPr>
          <w:rFonts w:cs="Arial" w:ascii="Arial" w:hAnsi="Arial"/>
          <w:sz w:val="22"/>
          <w:szCs w:val="22"/>
        </w:rPr>
        <w:t xml:space="preserve"> </w:t>
      </w:r>
      <w:r>
        <w:rPr>
          <w:rFonts w:cs="Arial" w:ascii="Arial" w:hAnsi="Arial"/>
          <w:sz w:val="22"/>
          <w:szCs w:val="22"/>
        </w:rPr>
        <w:t xml:space="preserve">Plátce poplatku je povinen podat správci poplatku ohlášení nejpozději do 15 dnů ode dne, kdy nabyl postavení plátce poplatku. Pozbytí postavení plátce ohlásí plátce poplatku správci poplatku ve lhůtě 15 dnů. </w:t>
      </w:r>
    </w:p>
    <w:p>
      <w:pPr>
        <w:pStyle w:val="Normal"/>
        <w:numPr>
          <w:ilvl w:val="0"/>
          <w:numId w:val="6"/>
        </w:numPr>
        <w:spacing w:lineRule="auto" w:line="312" w:before="120" w:after="0"/>
        <w:jc w:val="both"/>
        <w:rPr>
          <w:rFonts w:ascii="Arial" w:hAnsi="Arial" w:cs="Arial"/>
          <w:sz w:val="22"/>
          <w:szCs w:val="22"/>
        </w:rPr>
      </w:pPr>
      <w:r>
        <w:rPr>
          <w:rFonts w:cs="Arial" w:ascii="Arial" w:hAnsi="Arial"/>
          <w:sz w:val="22"/>
          <w:szCs w:val="22"/>
        </w:rPr>
        <w:t>V ohlášení poplatník uvede</w:t>
      </w:r>
      <w:r>
        <w:rPr>
          <w:rStyle w:val="Ukotvenpoznmkypodarou"/>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6"/>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6"/>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6"/>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Style w:val="Ukotvenpoznmkypodarou"/>
          <w:rFonts w:cs="Arial" w:ascii="Arial" w:hAnsi="Arial"/>
          <w:sz w:val="22"/>
          <w:szCs w:val="22"/>
        </w:rPr>
        <w:footnoteReference w:id="10"/>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Ukotvenpoznmkypodarou"/>
          <w:rStyle w:val="Ukotvenpoznmkypodarou"/>
          <w:rFonts w:cs="Arial" w:ascii="Arial" w:hAnsi="Arial"/>
          <w:sz w:val="22"/>
          <w:szCs w:val="22"/>
        </w:rPr>
        <w:footnoteReference w:id="11"/>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Style w:val="Ukotvenpoznmkypodarou"/>
          <w:rFonts w:cs="Arial" w:ascii="Arial" w:hAnsi="Arial"/>
          <w:sz w:val="22"/>
          <w:szCs w:val="22"/>
        </w:rPr>
        <w:footnoteReference w:id="12"/>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Style w:val="Ukotvenpoznmkypodarou"/>
          <w:rFonts w:cs="Arial" w:ascii="Arial" w:hAnsi="Arial"/>
          <w:sz w:val="22"/>
          <w:szCs w:val="22"/>
          <w:vertAlign w:val="superscript"/>
        </w:rPr>
        <w:footnoteReference w:id="13"/>
      </w:r>
      <w:r>
        <w:rPr>
          <w:rFonts w:cs="Arial" w:ascii="Arial" w:hAnsi="Arial"/>
          <w:sz w:val="22"/>
          <w:szCs w:val="22"/>
        </w:rPr>
        <w:t xml:space="preserve"> </w:t>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Style w:val="Ukotvenpoznmkypodarou"/>
          <w:rFonts w:cs="Arial" w:ascii="Arial" w:hAnsi="Arial"/>
          <w:vertAlign w:val="superscript"/>
        </w:rPr>
        <w:footnoteReference w:id="14"/>
      </w:r>
      <w:r>
        <w:rPr>
          <w:rFonts w:cs="Arial" w:ascii="Arial" w:hAnsi="Arial"/>
        </w:rPr>
        <w:t xml:space="preserve">    </w:t>
      </w:r>
    </w:p>
    <w:p>
      <w:pPr>
        <w:pStyle w:val="ListParagraph"/>
        <w:numPr>
          <w:ilvl w:val="0"/>
          <w:numId w:val="9"/>
        </w:numPr>
        <w:spacing w:lineRule="auto" w:line="264" w:before="120" w:after="60"/>
        <w:jc w:val="both"/>
        <w:rPr>
          <w:rFonts w:ascii="Arial" w:hAnsi="Arial" w:cs="Arial"/>
        </w:rPr>
      </w:pPr>
      <w:r>
        <w:rPr>
          <w:rFonts w:cs="Arial" w:ascii="Arial" w:hAnsi="Arial"/>
        </w:rPr>
        <w:t>Základem dílčího poplatku je kapacita soustřeďovacího prostředků pro nemovitou věc na odpad za kalendářní měsíc v litrech připadající na poplatníka.</w:t>
      </w:r>
    </w:p>
    <w:p>
      <w:pPr>
        <w:pStyle w:val="ListParagraph"/>
        <w:numPr>
          <w:ilvl w:val="0"/>
          <w:numId w:val="9"/>
        </w:numPr>
        <w:spacing w:lineRule="auto" w:line="264" w:before="120" w:after="0"/>
        <w:jc w:val="both"/>
        <w:rPr>
          <w:rFonts w:ascii="Arial" w:hAnsi="Arial" w:cs="Arial"/>
        </w:rPr>
      </w:pPr>
      <w:r>
        <w:rPr>
          <w:rFonts w:cs="Arial" w:ascii="Arial" w:hAnsi="Arial"/>
        </w:rPr>
        <w:t>Objednanou kapacitu soustřeďovacích prostředků pro nemovitou věc na kalendářní měsíc připadající na poplatníka je</w:t>
      </w:r>
    </w:p>
    <w:p>
      <w:pPr>
        <w:pStyle w:val="ListParagraph"/>
        <w:numPr>
          <w:ilvl w:val="1"/>
          <w:numId w:val="5"/>
        </w:numPr>
        <w:spacing w:lineRule="auto" w:line="264" w:before="120" w:after="0"/>
        <w:jc w:val="both"/>
        <w:rPr>
          <w:rFonts w:ascii="Arial" w:hAnsi="Arial" w:cs="Arial"/>
        </w:rPr>
      </w:pPr>
      <w:r>
        <w:rPr>
          <w:rFonts w:cs="Arial" w:ascii="Arial" w:hAnsi="Arial"/>
        </w:rPr>
        <w:t xml:space="preserve">podíl objednané kapacity soustřeďovacích prostředků pro tuto nemovitou věc na kalendářní měsíc a počtu fyzických osob, které v této nemovité věci mají bydliště na konci kalendářního měsíce, nebo </w:t>
      </w:r>
    </w:p>
    <w:p>
      <w:pPr>
        <w:pStyle w:val="ListParagraph"/>
        <w:numPr>
          <w:ilvl w:val="1"/>
          <w:numId w:val="5"/>
        </w:numPr>
        <w:spacing w:lineRule="auto" w:line="264" w:before="120" w:after="0"/>
        <w:jc w:val="both"/>
        <w:rPr>
          <w:rFonts w:ascii="Arial" w:hAnsi="Arial" w:cs="Arial"/>
        </w:rPr>
      </w:pPr>
      <w:r>
        <w:rPr>
          <w:rFonts w:cs="Arial" w:ascii="Arial" w:hAnsi="Arial"/>
        </w:rPr>
        <w:t>kapacita soustřeďovacích prostředků pro tuto nemovitou věc na kalendářní měsíc v případě, že v nemovité věci nemá bydliště žádná fyzická osoba.</w:t>
      </w:r>
    </w:p>
    <w:p>
      <w:pPr>
        <w:pStyle w:val="ListParagraph"/>
        <w:numPr>
          <w:ilvl w:val="0"/>
          <w:numId w:val="10"/>
        </w:numPr>
        <w:spacing w:lineRule="auto" w:line="264" w:before="120" w:after="0"/>
        <w:jc w:val="both"/>
        <w:rPr>
          <w:rFonts w:ascii="Arial" w:hAnsi="Arial" w:cs="Arial"/>
        </w:rPr>
      </w:pPr>
      <w:r>
        <w:rPr>
          <w:rFonts w:cs="Arial" w:ascii="Arial" w:hAnsi="Arial"/>
        </w:rPr>
        <w:t xml:space="preserve">Minimální základ dílčího poplatku činí 60 litrů.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zvylnk"/>
        <w:jc w:val="left"/>
        <w:rPr/>
      </w:pPr>
      <w:r>
        <w:rPr>
          <w:rFonts w:cs="Arial" w:ascii="Arial" w:hAnsi="Arial"/>
        </w:rPr>
        <w:tab/>
      </w:r>
      <w:r>
        <w:rPr>
          <w:rFonts w:cs="Arial" w:ascii="Arial" w:hAnsi="Arial"/>
          <w:b w:val="false"/>
          <w:sz w:val="22"/>
          <w:szCs w:val="22"/>
        </w:rPr>
        <w:t>Sazba poplatku činí 0,</w:t>
      </w:r>
      <w:r>
        <w:rPr>
          <w:rFonts w:cs="Arial" w:ascii="Arial" w:hAnsi="Arial"/>
          <w:b w:val="false"/>
          <w:sz w:val="22"/>
          <w:szCs w:val="22"/>
        </w:rPr>
        <w:t>8</w:t>
      </w:r>
      <w:r>
        <w:rPr>
          <w:rFonts w:cs="Arial" w:ascii="Arial" w:hAnsi="Arial"/>
          <w:b w:val="false"/>
          <w:sz w:val="22"/>
          <w:szCs w:val="22"/>
        </w:rPr>
        <w:t xml:space="preserve">5 Kč za litr. </w:t>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 xml:space="preserve">Výpočet poplatku </w:t>
      </w:r>
      <w:r>
        <w:rPr>
          <w:rStyle w:val="Ukotvenpoznmkypodarou"/>
          <w:rStyle w:val="Ukotvenpoznmkypodarou"/>
          <w:rFonts w:cs="Arial" w:ascii="Arial" w:hAnsi="Arial"/>
          <w:vertAlign w:val="superscript"/>
        </w:rPr>
        <w:footnoteReference w:id="15"/>
      </w:r>
    </w:p>
    <w:p>
      <w:pPr>
        <w:pStyle w:val="Default"/>
        <w:numPr>
          <w:ilvl w:val="0"/>
          <w:numId w:val="2"/>
        </w:numPr>
        <w:rPr>
          <w:sz w:val="22"/>
          <w:szCs w:val="22"/>
        </w:rPr>
      </w:pPr>
      <w:r>
        <w:rPr>
          <w:sz w:val="22"/>
          <w:szCs w:val="22"/>
        </w:rPr>
        <w:t xml:space="preserve"> </w:t>
      </w:r>
      <w:r>
        <w:rPr>
          <w:sz w:val="22"/>
          <w:szCs w:val="22"/>
        </w:rPr>
        <w:t>Poplatek se vypočte jako součet dílčích poplatků za jednotlivé kalendářní měsíce, na jejichž konci</w:t>
      </w:r>
    </w:p>
    <w:p>
      <w:pPr>
        <w:pStyle w:val="Default"/>
        <w:ind w:left="567" w:hanging="0"/>
        <w:rPr>
          <w:sz w:val="22"/>
          <w:szCs w:val="22"/>
        </w:rPr>
      </w:pPr>
      <w:r>
        <w:rPr>
          <w:sz w:val="22"/>
          <w:szCs w:val="22"/>
        </w:rPr>
        <w:t xml:space="preserve">a) měl poplatník v nemovité věci bydliště, nebo </w:t>
      </w:r>
    </w:p>
    <w:p>
      <w:pPr>
        <w:pStyle w:val="Default"/>
        <w:ind w:left="567" w:hanging="0"/>
        <w:rPr>
          <w:sz w:val="22"/>
          <w:szCs w:val="22"/>
        </w:rPr>
      </w:pPr>
      <w:r>
        <w:rPr>
          <w:sz w:val="22"/>
          <w:szCs w:val="22"/>
        </w:rPr>
        <w:t xml:space="preserve">b) neměla v nemovité věci bydliště žádná fyzická osoba v případě, že poplatníkem je vlastník této nemovité věci. </w:t>
      </w:r>
    </w:p>
    <w:p>
      <w:pPr>
        <w:pStyle w:val="Default"/>
        <w:ind w:left="567" w:hanging="0"/>
        <w:rPr>
          <w:color w:val="auto"/>
          <w:sz w:val="22"/>
          <w:szCs w:val="22"/>
        </w:rPr>
      </w:pPr>
      <w:r>
        <w:rPr>
          <w:color w:val="auto"/>
          <w:sz w:val="22"/>
          <w:szCs w:val="22"/>
        </w:rPr>
      </w:r>
    </w:p>
    <w:p>
      <w:pPr>
        <w:pStyle w:val="Normal"/>
        <w:numPr>
          <w:ilvl w:val="0"/>
          <w:numId w:val="2"/>
        </w:numPr>
        <w:spacing w:lineRule="auto" w:line="264" w:before="120" w:after="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Normal"/>
        <w:spacing w:lineRule="auto" w:line="264"/>
        <w:jc w:val="both"/>
        <w:rPr>
          <w:rFonts w:ascii="Arial" w:hAnsi="Arial" w:cs="Arial"/>
          <w:sz w:val="22"/>
          <w:szCs w:val="22"/>
        </w:rPr>
      </w:pPr>
      <w:r>
        <w:rPr>
          <w:rFonts w:cs="Arial" w:ascii="Arial" w:hAnsi="Arial"/>
          <w:sz w:val="22"/>
          <w:szCs w:val="22"/>
        </w:rPr>
      </w:r>
    </w:p>
    <w:p>
      <w:pPr>
        <w:pStyle w:val="Normal"/>
        <w:tabs>
          <w:tab w:val="clear" w:pos="708"/>
          <w:tab w:val="left" w:pos="3780" w:leader="none"/>
        </w:tabs>
        <w:spacing w:lineRule="auto" w:line="264"/>
        <w:ind w:left="567" w:hanging="0"/>
        <w:jc w:val="both"/>
        <w:rPr>
          <w:rFonts w:ascii="Arial" w:hAnsi="Arial" w:cs="Arial"/>
          <w:i/>
          <w:i/>
          <w:color w:val="0070C0"/>
          <w:sz w:val="20"/>
          <w:szCs w:val="20"/>
          <w:u w:val="single"/>
        </w:rPr>
      </w:pPr>
      <w:r>
        <w:rPr>
          <w:rFonts w:cs="Arial" w:ascii="Arial" w:hAnsi="Arial"/>
          <w:i/>
          <w:color w:val="0070C0"/>
          <w:sz w:val="20"/>
          <w:szCs w:val="20"/>
          <w:u w:val="single"/>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r>
        <w:rPr/>
        <w:t xml:space="preserve"> </w:t>
      </w:r>
    </w:p>
    <w:p>
      <w:pPr>
        <w:pStyle w:val="Normal"/>
        <w:numPr>
          <w:ilvl w:val="0"/>
          <w:numId w:val="3"/>
        </w:numPr>
        <w:spacing w:lineRule="auto" w:line="264" w:before="120" w:after="0"/>
        <w:jc w:val="both"/>
        <w:rPr>
          <w:rFonts w:ascii="Arial" w:hAnsi="Arial" w:cs="Arial"/>
          <w:sz w:val="22"/>
          <w:szCs w:val="22"/>
        </w:rPr>
      </w:pPr>
      <w:r>
        <w:rPr>
          <w:rFonts w:cs="Arial" w:ascii="Arial" w:hAnsi="Arial"/>
          <w:sz w:val="22"/>
          <w:szCs w:val="22"/>
        </w:rPr>
        <w:t xml:space="preserve">Plátce poplatku odvede vybranou část poplatku správci poplatku za první pololetí příslušného kalendářního roku nejpozději do 15.3. příslušného kalendářního roku a do 15. 1. následujícího kalendářního roku za druhé pololetí příslušného kalendářního roku. </w:t>
      </w:r>
    </w:p>
    <w:p>
      <w:pPr>
        <w:pStyle w:val="Normal"/>
        <w:numPr>
          <w:ilvl w:val="0"/>
          <w:numId w:val="3"/>
        </w:numPr>
        <w:spacing w:lineRule="auto" w:line="264" w:before="120" w:after="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 xml:space="preserve"> 12</w:t>
      </w:r>
    </w:p>
    <w:p>
      <w:pPr>
        <w:pStyle w:val="Slalnk"/>
        <w:spacing w:before="480" w:after="60"/>
        <w:rPr>
          <w:rFonts w:ascii="Arial" w:hAnsi="Arial" w:cs="Arial"/>
        </w:rPr>
      </w:pPr>
      <w:r>
        <w:rPr>
          <w:rFonts w:cs="Arial" w:ascii="Arial" w:hAnsi="Arial"/>
        </w:rPr>
        <w:t>Čl. 9</w:t>
      </w:r>
    </w:p>
    <w:p>
      <w:pPr>
        <w:pStyle w:val="Slalnk"/>
        <w:spacing w:before="60" w:after="160"/>
        <w:rPr>
          <w:rFonts w:ascii="Arial" w:hAnsi="Arial" w:cs="Arial"/>
        </w:rPr>
      </w:pPr>
      <w:r>
        <w:rPr>
          <w:rFonts w:cs="Arial" w:ascii="Arial" w:hAnsi="Arial"/>
        </w:rPr>
        <w:t xml:space="preserve">Navýšení poplatku </w:t>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Nebudou-li poplatky zaplaceny poplatníkem včas nebo ve správné výši, vyměří mu správce poplatku poplatek platebním výměrem nebo hromadným předpisným seznamem.</w:t>
      </w:r>
      <w:r>
        <w:rPr>
          <w:rFonts w:cs="Arial" w:ascii="Arial" w:hAnsi="Arial"/>
          <w:vertAlign w:val="superscript"/>
        </w:rPr>
        <w:t xml:space="preserve"> </w:t>
      </w:r>
      <w:r>
        <w:rPr>
          <w:rStyle w:val="Ukotvenpoznmkypodarou"/>
          <w:rStyle w:val="Ukotvenpoznmkypodarou"/>
          <w:rFonts w:cs="Arial" w:ascii="Arial" w:hAnsi="Arial"/>
          <w:sz w:val="22"/>
          <w:szCs w:val="22"/>
          <w:vertAlign w:val="superscript"/>
        </w:rPr>
        <w:footnoteReference w:id="16"/>
      </w:r>
      <w:r>
        <w:rPr>
          <w:rFonts w:cs="Arial" w:ascii="Arial" w:hAnsi="Arial"/>
          <w:sz w:val="22"/>
          <w:szCs w:val="22"/>
        </w:rPr>
        <w:t xml:space="preserve"> </w:t>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 xml:space="preserve">Nebudou-li poplatky odvedeny plátcem poplatku včas nebo ve správné výši, vyměří mu správce poplatku poplatek platebním výměrem k přímé úhradě. </w:t>
      </w:r>
      <w:r>
        <w:rPr>
          <w:rStyle w:val="Ukotvenpoznmkypodarou"/>
          <w:rStyle w:val="Ukotvenpoznmkypodarou"/>
          <w:rFonts w:cs="Arial" w:ascii="Arial" w:hAnsi="Arial"/>
          <w:sz w:val="22"/>
          <w:szCs w:val="22"/>
          <w:vertAlign w:val="superscript"/>
        </w:rPr>
        <w:footnoteReference w:id="17"/>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poplatek zvýšit až na trojnásobek, toto zvýšení je příslušenstvím poplatku sledujícím jako osud.</w:t>
      </w:r>
      <w:r>
        <w:rPr>
          <w:rFonts w:cs="Arial" w:ascii="Arial" w:hAnsi="Arial"/>
          <w:sz w:val="22"/>
          <w:szCs w:val="22"/>
          <w:vertAlign w:val="superscript"/>
        </w:rPr>
        <w:t xml:space="preserve"> </w:t>
      </w:r>
      <w:r>
        <w:rPr>
          <w:rStyle w:val="Ukotvenpoznmkypodarou"/>
          <w:rStyle w:val="Ukotvenpoznmkypodarou"/>
          <w:rFonts w:cs="Arial" w:ascii="Arial" w:hAnsi="Arial"/>
          <w:sz w:val="22"/>
          <w:szCs w:val="22"/>
          <w:vertAlign w:val="superscript"/>
        </w:rPr>
        <w:footnoteReference w:id="18"/>
      </w:r>
    </w:p>
    <w:p>
      <w:pPr>
        <w:pStyle w:val="Slalnk"/>
        <w:spacing w:before="480" w:after="60"/>
        <w:ind w:left="3540" w:firstLine="708"/>
        <w:jc w:val="left"/>
        <w:rPr>
          <w:rFonts w:ascii="Arial" w:hAnsi="Arial" w:cs="Arial"/>
        </w:rPr>
      </w:pPr>
      <w:r>
        <w:rPr>
          <w:rFonts w:cs="Arial" w:ascii="Arial" w:hAnsi="Arial"/>
        </w:rPr>
        <w:t>Čl. 10</w:t>
      </w:r>
    </w:p>
    <w:p>
      <w:pPr>
        <w:pStyle w:val="Nzvylnk"/>
        <w:ind w:left="3399" w:firstLine="141"/>
        <w:jc w:val="left"/>
        <w:rPr>
          <w:rFonts w:ascii="Arial" w:hAnsi="Arial" w:cs="Arial"/>
        </w:rPr>
      </w:pPr>
      <w:r>
        <w:rPr>
          <w:rFonts w:cs="Arial" w:ascii="Arial" w:hAnsi="Arial"/>
        </w:rPr>
        <w:t xml:space="preserve">     </w:t>
      </w:r>
      <w:r>
        <w:rPr>
          <w:rFonts w:cs="Arial" w:ascii="Arial" w:hAnsi="Arial"/>
        </w:rPr>
        <w:t xml:space="preserve">Osvobození </w:t>
      </w:r>
    </w:p>
    <w:p>
      <w:pPr>
        <w:pStyle w:val="Slalnk"/>
        <w:spacing w:before="480" w:after="60"/>
        <w:rPr>
          <w:rFonts w:ascii="Arial" w:hAnsi="Arial" w:cs="Arial"/>
          <w:b w:val="false"/>
          <w:b w:val="false"/>
        </w:rPr>
      </w:pPr>
      <w:r>
        <w:rPr>
          <w:rFonts w:cs="Arial" w:ascii="Arial" w:hAnsi="Arial"/>
          <w:b w:val="false"/>
        </w:rPr>
        <w:t xml:space="preserve">Od poplatku se osvobozují nemovitosti, čp. 40, čp. 43, čp. 68, čp. 72. </w:t>
      </w:r>
      <w:bookmarkStart w:id="0" w:name="_GoBack"/>
      <w:bookmarkEnd w:id="0"/>
    </w:p>
    <w:p>
      <w:pPr>
        <w:pStyle w:val="Slalnk"/>
        <w:spacing w:before="480" w:after="60"/>
        <w:rPr>
          <w:rFonts w:ascii="Arial" w:hAnsi="Arial" w:cs="Arial"/>
        </w:rPr>
      </w:pPr>
      <w:r>
        <w:rPr>
          <w:rFonts w:cs="Arial" w:ascii="Arial" w:hAnsi="Arial"/>
        </w:rPr>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 xml:space="preserve">Společná ustanovení </w:t>
      </w:r>
    </w:p>
    <w:p>
      <w:pPr>
        <w:pStyle w:val="Nzvylnk"/>
        <w:rPr>
          <w:rFonts w:ascii="Arial" w:hAnsi="Arial" w:cs="Arial"/>
        </w:rPr>
      </w:pPr>
      <w:r>
        <w:rPr>
          <w:rFonts w:cs="Arial" w:ascii="Arial" w:hAnsi="Arial"/>
        </w:rPr>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cs="Arial" w:ascii="Arial" w:hAnsi="Arial"/>
          <w:sz w:val="22"/>
          <w:szCs w:val="22"/>
          <w:vertAlign w:val="superscript"/>
        </w:rPr>
        <w:t xml:space="preserve"> </w:t>
      </w:r>
      <w:r>
        <w:rPr>
          <w:rStyle w:val="Ukotvenpoznmkypodarou"/>
          <w:rStyle w:val="Ukotvenpoznmkypodarou"/>
          <w:rFonts w:cs="Arial" w:ascii="Arial" w:hAnsi="Arial"/>
          <w:sz w:val="22"/>
          <w:szCs w:val="22"/>
          <w:vertAlign w:val="superscript"/>
        </w:rPr>
        <w:footnoteReference w:id="19"/>
      </w:r>
      <w:r>
        <w:rPr>
          <w:rFonts w:cs="Arial" w:ascii="Arial" w:hAnsi="Arial"/>
          <w:sz w:val="22"/>
          <w:szCs w:val="22"/>
        </w:rPr>
        <w:t xml:space="preserve"> </w:t>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Na svěřenecký fond, podílový fond nebo fond obhospodařovaný penzijním společností, do kterých je vložena nemovitá věc, se pro účely poplatků za komunální odpad hledí jako na vlastníka této nemovité věci.</w:t>
      </w:r>
      <w:r>
        <w:rPr>
          <w:rFonts w:cs="Arial" w:ascii="Arial" w:hAnsi="Arial"/>
          <w:sz w:val="22"/>
          <w:szCs w:val="22"/>
          <w:vertAlign w:val="superscript"/>
        </w:rPr>
        <w:t xml:space="preserve"> </w:t>
      </w:r>
      <w:r>
        <w:rPr>
          <w:rStyle w:val="Ukotvenpoznmkypodarou"/>
          <w:rStyle w:val="Ukotvenpoznmkypodarou"/>
          <w:rFonts w:cs="Arial" w:ascii="Arial" w:hAnsi="Arial"/>
          <w:sz w:val="22"/>
          <w:szCs w:val="22"/>
          <w:vertAlign w:val="superscript"/>
        </w:rPr>
        <w:footnoteReference w:id="20"/>
      </w:r>
    </w:p>
    <w:p>
      <w:pPr>
        <w:pStyle w:val="Normal"/>
        <w:tabs>
          <w:tab w:val="clear" w:pos="708"/>
          <w:tab w:val="left" w:pos="3780" w:leader="none"/>
        </w:tabs>
        <w:jc w:val="both"/>
        <w:rPr>
          <w:rFonts w:ascii="Arial" w:hAnsi="Arial" w:cs="Arial"/>
          <w:i/>
          <w:i/>
          <w:color w:val="0070C0"/>
          <w:sz w:val="20"/>
          <w:szCs w:val="20"/>
          <w:u w:val="single"/>
        </w:rPr>
      </w:pPr>
      <w:r>
        <w:rPr>
          <w:rFonts w:cs="Arial" w:ascii="Arial" w:hAnsi="Arial"/>
          <w:i/>
          <w:color w:val="0070C0"/>
          <w:sz w:val="20"/>
          <w:szCs w:val="20"/>
          <w:u w:val="single"/>
        </w:rPr>
      </w:r>
    </w:p>
    <w:p>
      <w:pPr>
        <w:pStyle w:val="Normal"/>
        <w:spacing w:lineRule="auto" w:line="264" w:before="120" w:after="0"/>
        <w:jc w:val="both"/>
        <w:rPr>
          <w:rFonts w:ascii="Arial" w:hAnsi="Arial" w:cs="Arial"/>
          <w:sz w:val="22"/>
          <w:szCs w:val="22"/>
        </w:rPr>
      </w:pPr>
      <w:r>
        <w:rPr>
          <w:rFonts w:cs="Arial" w:ascii="Arial" w:hAnsi="Arial"/>
          <w:i/>
          <w:color w:val="0070C0"/>
          <w:sz w:val="22"/>
          <w:szCs w:val="22"/>
        </w:rPr>
        <w:t xml:space="preserve"> </w:t>
      </w:r>
    </w:p>
    <w:p>
      <w:pPr>
        <w:pStyle w:val="Normal"/>
        <w:spacing w:lineRule="auto" w:line="264" w:before="120" w:after="0"/>
        <w:jc w:val="both"/>
        <w:rPr>
          <w:rFonts w:ascii="Arial" w:hAnsi="Arial" w:cs="Arial"/>
          <w:i/>
          <w:i/>
          <w:color w:val="0070C0"/>
          <w:sz w:val="22"/>
          <w:szCs w:val="22"/>
        </w:rPr>
      </w:pPr>
      <w:r>
        <w:rPr>
          <w:rFonts w:cs="Arial" w:ascii="Arial" w:hAnsi="Arial"/>
          <w:i/>
          <w:color w:val="0070C0"/>
          <w:sz w:val="22"/>
          <w:szCs w:val="22"/>
        </w:rPr>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Přechodné ustanovení</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t xml:space="preserve">Poplatkové povinnosti vzniklé před nabytím účinnosti této vyhlášky se posuzují podle dosavadních právních předpisů. </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r>
    </w:p>
    <w:p>
      <w:pPr>
        <w:pStyle w:val="Normal"/>
        <w:spacing w:lineRule="auto" w:line="288" w:before="120" w:after="0"/>
        <w:ind w:left="567" w:hanging="0"/>
        <w:jc w:val="center"/>
        <w:rPr>
          <w:rFonts w:ascii="Arial" w:hAnsi="Arial" w:cs="Arial"/>
          <w:b/>
          <w:b/>
        </w:rPr>
      </w:pPr>
      <w:r>
        <w:rPr>
          <w:rFonts w:cs="Arial" w:ascii="Arial" w:hAnsi="Arial"/>
          <w:b/>
        </w:rPr>
      </w:r>
    </w:p>
    <w:p>
      <w:pPr>
        <w:pStyle w:val="Normal"/>
        <w:spacing w:lineRule="auto" w:line="288" w:before="120" w:after="0"/>
        <w:ind w:left="567" w:hanging="0"/>
        <w:jc w:val="center"/>
        <w:rPr>
          <w:rFonts w:ascii="Arial" w:hAnsi="Arial" w:cs="Arial"/>
          <w:b/>
          <w:b/>
          <w:bCs/>
        </w:rPr>
      </w:pPr>
      <w:r>
        <w:rPr>
          <w:rFonts w:cs="Arial" w:ascii="Arial" w:hAnsi="Arial"/>
          <w:b/>
          <w:bCs/>
        </w:rPr>
        <w:t>Čl. 13</w:t>
      </w:r>
    </w:p>
    <w:p>
      <w:pPr>
        <w:pStyle w:val="Normal"/>
        <w:spacing w:lineRule="auto" w:line="288" w:before="120" w:after="0"/>
        <w:ind w:left="567" w:hanging="0"/>
        <w:jc w:val="center"/>
        <w:rPr>
          <w:rFonts w:ascii="Arial" w:hAnsi="Arial" w:cs="Arial"/>
          <w:b/>
          <w:b/>
        </w:rPr>
      </w:pPr>
      <w:r>
        <w:rPr>
          <w:rFonts w:cs="Arial" w:ascii="Arial" w:hAnsi="Arial"/>
          <w:b/>
        </w:rPr>
        <w:t>Zrušovací ustanovení</w:t>
      </w:r>
    </w:p>
    <w:p>
      <w:pPr>
        <w:pStyle w:val="Normal"/>
        <w:spacing w:lineRule="auto" w:line="288" w:before="120" w:after="0"/>
        <w:jc w:val="both"/>
        <w:rPr/>
      </w:pPr>
      <w:bookmarkStart w:id="1" w:name="_Hlk54595723"/>
      <w:r>
        <w:rPr>
          <w:rFonts w:cs="Arial" w:ascii="Arial" w:hAnsi="Arial"/>
          <w:sz w:val="22"/>
          <w:szCs w:val="22"/>
        </w:rPr>
        <w:t xml:space="preserve">Zrušuje se </w:t>
      </w:r>
      <w:r>
        <w:rPr>
          <w:rFonts w:cs="Arial" w:ascii="Arial" w:hAnsi="Arial"/>
          <w:sz w:val="22"/>
          <w:szCs w:val="22"/>
        </w:rPr>
        <w:t>O</w:t>
      </w:r>
      <w:r>
        <w:rPr>
          <w:rFonts w:cs="Arial" w:ascii="Arial" w:hAnsi="Arial"/>
          <w:sz w:val="22"/>
          <w:szCs w:val="22"/>
        </w:rPr>
        <w:t xml:space="preserve">becně závazná vyhláška </w:t>
      </w:r>
      <w:bookmarkEnd w:id="1"/>
      <w:r>
        <w:rPr>
          <w:rFonts w:cs="Arial" w:ascii="Arial" w:hAnsi="Arial"/>
          <w:sz w:val="22"/>
          <w:szCs w:val="22"/>
        </w:rPr>
        <w:t xml:space="preserve">č. </w:t>
      </w:r>
      <w:r>
        <w:rPr>
          <w:rFonts w:cs="Arial" w:ascii="Arial" w:hAnsi="Arial"/>
          <w:sz w:val="22"/>
          <w:szCs w:val="22"/>
        </w:rPr>
        <w:t>1</w:t>
      </w:r>
      <w:r>
        <w:rPr>
          <w:rFonts w:cs="Arial" w:ascii="Arial" w:hAnsi="Arial"/>
          <w:i/>
          <w:sz w:val="22"/>
          <w:szCs w:val="22"/>
        </w:rPr>
        <w:t>/20</w:t>
      </w:r>
      <w:r>
        <w:rPr>
          <w:rFonts w:cs="Arial" w:ascii="Arial" w:hAnsi="Arial"/>
          <w:i/>
          <w:sz w:val="22"/>
          <w:szCs w:val="22"/>
        </w:rPr>
        <w:t>21</w:t>
      </w:r>
      <w:r>
        <w:rPr>
          <w:rFonts w:cs="Arial" w:ascii="Arial" w:hAnsi="Arial"/>
          <w:i/>
          <w:sz w:val="22"/>
          <w:szCs w:val="22"/>
        </w:rPr>
        <w:t xml:space="preserve"> o místním poplatku za </w:t>
      </w:r>
      <w:r>
        <w:rPr>
          <w:rFonts w:cs="Arial" w:ascii="Arial" w:hAnsi="Arial"/>
          <w:i/>
          <w:sz w:val="22"/>
          <w:szCs w:val="22"/>
        </w:rPr>
        <w:t>ukládání</w:t>
      </w:r>
      <w:r>
        <w:rPr>
          <w:rFonts w:cs="Arial" w:ascii="Arial" w:hAnsi="Arial"/>
          <w:i/>
          <w:sz w:val="22"/>
          <w:szCs w:val="22"/>
        </w:rPr>
        <w:t xml:space="preserve"> komunální</w:t>
      </w:r>
      <w:r>
        <w:rPr>
          <w:rFonts w:cs="Arial" w:ascii="Arial" w:hAnsi="Arial"/>
          <w:i/>
          <w:sz w:val="22"/>
          <w:szCs w:val="22"/>
        </w:rPr>
        <w:t>ho</w:t>
      </w:r>
      <w:r>
        <w:rPr>
          <w:rFonts w:cs="Arial" w:ascii="Arial" w:hAnsi="Arial"/>
          <w:i/>
          <w:sz w:val="22"/>
          <w:szCs w:val="22"/>
        </w:rPr>
        <w:t xml:space="preserve"> odpad</w:t>
      </w:r>
      <w:r>
        <w:rPr>
          <w:rFonts w:cs="Arial" w:ascii="Arial" w:hAnsi="Arial"/>
          <w:i/>
          <w:sz w:val="22"/>
          <w:szCs w:val="22"/>
        </w:rPr>
        <w:t>u z nemovité věci,</w:t>
      </w:r>
      <w:r>
        <w:rPr>
          <w:rFonts w:cs="Arial" w:ascii="Arial" w:hAnsi="Arial"/>
          <w:i/>
          <w:sz w:val="22"/>
          <w:szCs w:val="22"/>
        </w:rPr>
        <w:t xml:space="preserve">  ze </w:t>
      </w:r>
      <w:r>
        <w:rPr>
          <w:rFonts w:cs="Arial" w:ascii="Arial" w:hAnsi="Arial"/>
          <w:sz w:val="22"/>
          <w:szCs w:val="22"/>
        </w:rPr>
        <w:t>dne</w:t>
      </w:r>
      <w:r>
        <w:rPr>
          <w:rFonts w:cs="Arial" w:ascii="Arial" w:hAnsi="Arial"/>
          <w:i/>
          <w:sz w:val="22"/>
          <w:szCs w:val="22"/>
        </w:rPr>
        <w:t xml:space="preserve"> 1</w:t>
      </w:r>
      <w:r>
        <w:rPr>
          <w:rFonts w:cs="Arial" w:ascii="Arial" w:hAnsi="Arial"/>
          <w:i/>
          <w:sz w:val="22"/>
          <w:szCs w:val="22"/>
        </w:rPr>
        <w:t>4</w:t>
      </w:r>
      <w:r>
        <w:rPr>
          <w:rFonts w:cs="Arial" w:ascii="Arial" w:hAnsi="Arial"/>
          <w:i/>
          <w:sz w:val="22"/>
          <w:szCs w:val="22"/>
        </w:rPr>
        <w:t>.12.20</w:t>
      </w:r>
      <w:r>
        <w:rPr>
          <w:rFonts w:cs="Arial" w:ascii="Arial" w:hAnsi="Arial"/>
          <w:i/>
          <w:sz w:val="22"/>
          <w:szCs w:val="22"/>
        </w:rPr>
        <w:t>21</w:t>
      </w:r>
      <w:r>
        <w:rPr>
          <w:rFonts w:cs="Arial" w:ascii="Arial" w:hAnsi="Arial"/>
          <w:sz w:val="22"/>
          <w:szCs w:val="22"/>
        </w:rPr>
        <w:t>.</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14</w:t>
      </w:r>
    </w:p>
    <w:p>
      <w:pPr>
        <w:pStyle w:val="Nzvylnk"/>
        <w:rPr>
          <w:rFonts w:ascii="Arial" w:hAnsi="Arial" w:cs="Arial"/>
        </w:rPr>
      </w:pPr>
      <w:r>
        <w:rPr>
          <w:rFonts w:cs="Arial" w:ascii="Arial" w:hAnsi="Arial"/>
        </w:rPr>
        <w:t>Účinnost</w:t>
      </w:r>
    </w:p>
    <w:p>
      <w:pPr>
        <w:pStyle w:val="Normal"/>
        <w:spacing w:lineRule="auto" w:line="288" w:before="120" w:after="0"/>
        <w:ind w:firstLine="708"/>
        <w:jc w:val="both"/>
        <w:rPr/>
      </w:pPr>
      <w:r>
        <w:rPr>
          <w:rFonts w:cs="Arial" w:ascii="Arial" w:hAnsi="Arial"/>
          <w:sz w:val="22"/>
          <w:szCs w:val="22"/>
        </w:rPr>
        <w:t>Tato vyhláška nabývá účinnosti dnem 01.01.202</w:t>
      </w:r>
      <w:r>
        <w:rPr>
          <w:rFonts w:cs="Arial" w:ascii="Arial" w:hAnsi="Arial"/>
          <w:sz w:val="22"/>
          <w:szCs w:val="22"/>
        </w:rPr>
        <w:t>3</w:t>
      </w:r>
      <w:r>
        <w:rPr>
          <w:rFonts w:cs="Arial" w:ascii="Arial" w:hAnsi="Arial"/>
          <w:sz w:val="22"/>
          <w:szCs w:val="22"/>
        </w:rPr>
        <w:t xml:space="preserve"> . </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Normal"/>
        <w:spacing w:lineRule="auto" w:line="264" w:before="120" w:after="0"/>
        <w:ind w:firstLine="708"/>
        <w:jc w:val="both"/>
        <w:rPr>
          <w:rFonts w:ascii="Arial" w:hAnsi="Arial" w:cs="Arial"/>
          <w:sz w:val="22"/>
          <w:szCs w:val="22"/>
        </w:rPr>
      </w:pPr>
      <w:r>
        <w:rPr>
          <w:rFonts w:cs="Arial" w:ascii="Arial" w:hAnsi="Arial"/>
          <w:sz w:val="22"/>
          <w:szCs w:val="22"/>
        </w:rPr>
      </w:r>
    </w:p>
    <w:p>
      <w:pPr>
        <w:pStyle w:val="Normal"/>
        <w:spacing w:lineRule="auto" w:line="264"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ab/>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 xml:space="preserve"> ..........................................</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Monika Šterclová                                                            Ing. Tomáš Paradovský </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místostarostka</w:t>
        <w:tab/>
        <w:t>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w:t>
      </w:r>
    </w:p>
    <w:p>
      <w:pPr>
        <w:pStyle w:val="Tlotextu"/>
        <w:tabs>
          <w:tab w:val="clear" w:pos="708"/>
          <w:tab w:val="left" w:pos="1080" w:leader="none"/>
          <w:tab w:val="left" w:pos="7020" w:leader="none"/>
        </w:tabs>
        <w:spacing w:lineRule="auto" w:line="264" w:before="120" w:after="0"/>
        <w:rPr/>
      </w:pPr>
      <w:r>
        <w:rPr>
          <w:rFonts w:cs="Arial" w:ascii="Arial" w:hAnsi="Arial"/>
          <w:sz w:val="22"/>
          <w:szCs w:val="22"/>
        </w:rPr>
        <w:t>Sejmuto z úřední desky dne:</w:t>
      </w:r>
    </w:p>
    <w:sectPr>
      <w:footerReference w:type="default" r:id="rId2"/>
      <w:footnotePr>
        <w:numFmt w:val="decimal"/>
      </w:footnotePr>
      <w:type w:val="nextPage"/>
      <w:pgSz w:w="11906" w:h="16838"/>
      <w:pgMar w:left="1417" w:right="1417" w:header="0" w:top="993" w:footer="708"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roman"/>
    <w:pitch w:val="variable"/>
  </w:font>
  <w:font w:name="Cambria">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5</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rPr/>
      </w:pPr>
      <w:r>
        <w:rPr>
          <w:rStyle w:val="Znakypropoznmkupodarou"/>
        </w:rPr>
        <w:footnoteRef/>
      </w:r>
      <w:r>
        <w:rPr>
          <w:rStyle w:val="FootnoteCharacters"/>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10j zákona o místních poplatcích </w:t>
      </w:r>
    </w:p>
  </w:footnote>
  <w:footnote w:id="4">
    <w:p>
      <w:pPr>
        <w:pStyle w:val="Poznmkapodarou"/>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10i zákona o místních poplatcích </w:t>
      </w:r>
    </w:p>
  </w:footnote>
  <w:footnote w:id="5">
    <w:p>
      <w:pPr>
        <w:pStyle w:val="Poznmkapodarou"/>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10n odst. 1  zákona o místních poplatcích </w:t>
      </w:r>
    </w:p>
  </w:footnote>
  <w:footnote w:id="6">
    <w:p>
      <w:pPr>
        <w:pStyle w:val="Poznmkapodarou"/>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10n ods. 2  zákona o místních poplatcích </w:t>
      </w:r>
    </w:p>
  </w:footnote>
  <w:footnote w:id="7">
    <w:p>
      <w:pPr>
        <w:pStyle w:val="Poznmkapodarou"/>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10p zákona o místních poplatcích </w:t>
      </w:r>
    </w:p>
  </w:footnote>
  <w:footnote w:id="8">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Poznmkapodarou"/>
        <w:rPr/>
      </w:pPr>
      <w:r>
        <w:rPr>
          <w:rStyle w:val="Znakypropoznmkupodarou"/>
        </w:rPr>
        <w:footnoteRef/>
      </w:r>
      <w:r>
        <w:rPr/>
        <w:t xml:space="preserve"> </w:t>
      </w:r>
      <w:r>
        <w:rPr>
          <w:rFonts w:cs="Arial" w:ascii="Arial" w:hAnsi="Arial"/>
          <w:sz w:val="18"/>
          <w:szCs w:val="18"/>
        </w:rPr>
        <w:t xml:space="preserve">§ absenci plátce je míněná situace, kdy je osoba poplatníka a plátce totožná (např. vlatník nemovité věci, v níž nemá nikdo bydliště) a jedná tudíž pouze v postavení polatníka. </w:t>
      </w:r>
    </w:p>
  </w:footnote>
  <w:footnote w:id="14">
    <w:p>
      <w:pPr>
        <w:pStyle w:val="Poznmkapodarou"/>
        <w:rPr/>
      </w:pPr>
      <w:r>
        <w:rPr>
          <w:rStyle w:val="Znakypropoznmkupodarou"/>
        </w:rPr>
        <w:footnoteRef/>
      </w:r>
      <w:r>
        <w:rPr/>
        <w:t xml:space="preserve"> </w:t>
      </w:r>
      <w:r>
        <w:rPr>
          <w:rFonts w:cs="Arial" w:ascii="Arial" w:hAnsi="Arial"/>
          <w:sz w:val="18"/>
          <w:szCs w:val="18"/>
        </w:rPr>
        <w:t xml:space="preserve">§10k ve spojení s § 10o odst. 2 zákona o místních poplatcích  . </w:t>
      </w:r>
    </w:p>
  </w:footnote>
  <w:footnote w:id="15">
    <w:p>
      <w:pPr>
        <w:pStyle w:val="Poznmkapodarou"/>
        <w:rPr/>
      </w:pPr>
      <w:r>
        <w:rPr>
          <w:rStyle w:val="Znakypropoznmkupodarou"/>
        </w:rPr>
        <w:footnoteRef/>
      </w:r>
      <w:r>
        <w:rPr/>
        <w:t xml:space="preserve"> </w:t>
      </w:r>
      <w:r>
        <w:rPr>
          <w:rFonts w:cs="Arial" w:ascii="Arial" w:hAnsi="Arial"/>
          <w:sz w:val="18"/>
          <w:szCs w:val="18"/>
        </w:rPr>
        <w:t xml:space="preserve">§10m ve spojení s § 10o odst. 2 zákona o místních poplatcích  . </w:t>
      </w:r>
    </w:p>
  </w:footnote>
  <w:footnote w:id="16">
    <w:p>
      <w:pPr>
        <w:pStyle w:val="Poznmkapodarou"/>
        <w:rPr/>
      </w:pPr>
      <w:r>
        <w:rPr>
          <w:rStyle w:val="Znakypropoznmkupodarou"/>
        </w:rPr>
        <w:footnoteRef/>
      </w:r>
      <w:r>
        <w:rPr/>
        <w:t xml:space="preserve"> </w:t>
      </w:r>
      <w:r>
        <w:rPr>
          <w:rFonts w:cs="Arial" w:ascii="Arial" w:hAnsi="Arial"/>
          <w:sz w:val="18"/>
          <w:szCs w:val="18"/>
        </w:rPr>
        <w:t xml:space="preserve">§11 odst. 1  zákona o místních poplatcích  . </w:t>
      </w:r>
    </w:p>
  </w:footnote>
  <w:footnote w:id="17">
    <w:p>
      <w:pPr>
        <w:pStyle w:val="Poznmkapodarou"/>
        <w:rPr/>
      </w:pPr>
      <w:r>
        <w:rPr>
          <w:rStyle w:val="Znakypropoznmkupodarou"/>
        </w:rPr>
        <w:footnoteRef/>
      </w:r>
      <w:r>
        <w:rPr/>
        <w:t xml:space="preserve"> </w:t>
      </w:r>
      <w:r>
        <w:rPr>
          <w:rFonts w:cs="Arial" w:ascii="Arial" w:hAnsi="Arial"/>
          <w:sz w:val="18"/>
          <w:szCs w:val="18"/>
        </w:rPr>
        <w:t xml:space="preserve">§11 odst. 2 zákona o místních poplatcích  . </w:t>
      </w:r>
    </w:p>
  </w:footnote>
  <w:footnote w:id="18">
    <w:p>
      <w:pPr>
        <w:pStyle w:val="Poznmkapodarou"/>
        <w:rPr/>
      </w:pPr>
      <w:r>
        <w:rPr>
          <w:rStyle w:val="Znakypropoznmkupodarou"/>
        </w:rPr>
        <w:footnoteRef/>
      </w:r>
      <w:r>
        <w:rPr/>
        <w:t xml:space="preserve"> </w:t>
      </w:r>
      <w:r>
        <w:rPr>
          <w:rFonts w:cs="Arial" w:ascii="Arial" w:hAnsi="Arial"/>
          <w:sz w:val="18"/>
          <w:szCs w:val="18"/>
        </w:rPr>
        <w:t xml:space="preserve">§11odst. 3 zákona o místních poplatcích  . </w:t>
      </w:r>
    </w:p>
  </w:footnote>
  <w:footnote w:id="19">
    <w:p>
      <w:pPr>
        <w:pStyle w:val="Poznmkapodarou"/>
        <w:rPr/>
      </w:pPr>
      <w:r>
        <w:rPr>
          <w:rStyle w:val="Znakypropoznmkupodarou"/>
        </w:rPr>
        <w:footnoteRef/>
      </w:r>
      <w:r>
        <w:rPr/>
        <w:t xml:space="preserve"> </w:t>
      </w:r>
      <w:r>
        <w:rPr>
          <w:rFonts w:cs="Arial" w:ascii="Arial" w:hAnsi="Arial"/>
          <w:sz w:val="18"/>
          <w:szCs w:val="18"/>
        </w:rPr>
        <w:t xml:space="preserve">§10q zákona o místních poplatcích  . </w:t>
      </w:r>
    </w:p>
  </w:footnote>
  <w:footnote w:id="20">
    <w:p>
      <w:pPr>
        <w:pStyle w:val="Poznmkapodarou"/>
        <w:rPr/>
      </w:pPr>
      <w:r>
        <w:rPr>
          <w:rStyle w:val="Znakypropoznmkupodarou"/>
        </w:rPr>
        <w:footnoteRef/>
      </w:r>
      <w:r>
        <w:rPr/>
        <w:t xml:space="preserve"> </w:t>
      </w:r>
      <w:r>
        <w:rPr>
          <w:rFonts w:cs="Arial" w:ascii="Arial" w:hAnsi="Arial"/>
          <w:sz w:val="18"/>
          <w:szCs w:val="18"/>
        </w:rPr>
        <w:t xml:space="preserve">§10r zákona o místních poplatcích  .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4"/>
        <w:sz w:val="24"/>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4"/>
        <w:sz w:val="24"/>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lvl w:ilvl="0">
      <w:start w:val="3"/>
      <w:numFmt w:val="decimal"/>
      <w:lvlText w:val="(%1)"/>
      <w:lvlJc w:val="left"/>
      <w:pPr>
        <w:tabs>
          <w:tab w:val="num" w:pos="567"/>
        </w:tabs>
        <w:ind w:left="567" w:hanging="567"/>
      </w:pPr>
      <w:rPr>
        <w:dstrike w:val="false"/>
        <w:strike w:val="false"/>
        <w:vertAlign w:val="baseline"/>
        <w:position w:val="0"/>
        <w:sz w:val="24"/>
        <w:sz w:val="24"/>
        <w:i w:val="false"/>
        <w:b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131160"/>
    <w:pPr>
      <w:widowControl/>
      <w:bidi w:val="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131160"/>
    <w:rPr>
      <w:sz w:val="24"/>
      <w:szCs w:val="24"/>
      <w:u w:val="single"/>
      <w:lang w:val="cs-CZ" w:eastAsia="cs-CZ" w:bidi="ar-SA"/>
    </w:rPr>
  </w:style>
  <w:style w:type="character" w:styleId="ZkladntextodsazenChar" w:customStyle="1">
    <w:name w:val="Základní text odsazený Char"/>
    <w:link w:val="Zkladntextodsazen"/>
    <w:semiHidden/>
    <w:qFormat/>
    <w:rsid w:val="00131160"/>
    <w:rPr>
      <w:sz w:val="24"/>
      <w:szCs w:val="24"/>
      <w:lang w:val="cs-CZ" w:eastAsia="cs-CZ" w:bidi="ar-SA"/>
    </w:rPr>
  </w:style>
  <w:style w:type="character" w:styleId="ZhlavChar" w:customStyle="1">
    <w:name w:val="Záhlaví Char"/>
    <w:link w:val="Zhlav"/>
    <w:semiHidden/>
    <w:qFormat/>
    <w:rsid w:val="00131160"/>
    <w:rPr>
      <w:sz w:val="24"/>
      <w:szCs w:val="24"/>
      <w:lang w:val="cs-CZ" w:eastAsia="cs-CZ" w:bidi="ar-SA"/>
    </w:rPr>
  </w:style>
  <w:style w:type="character" w:styleId="ZkladntextChar" w:customStyle="1">
    <w:name w:val="Základní text Char"/>
    <w:link w:val="Zkladntext"/>
    <w:semiHidden/>
    <w:qFormat/>
    <w:rsid w:val="00131160"/>
    <w:rPr>
      <w:sz w:val="24"/>
      <w:szCs w:val="24"/>
      <w:lang w:val="cs-CZ" w:eastAsia="cs-CZ" w:bidi="ar-SA"/>
    </w:rPr>
  </w:style>
  <w:style w:type="character" w:styleId="TextpoznpodarouChar" w:customStyle="1">
    <w:name w:val="Text pozn. pod čarou Char"/>
    <w:link w:val="Textpoznpodarou"/>
    <w:semiHidden/>
    <w:qFormat/>
    <w:rsid w:val="00131160"/>
    <w:rPr>
      <w:lang w:val="cs-CZ" w:eastAsia="cs-CZ" w:bidi="ar-SA"/>
    </w:rPr>
  </w:style>
  <w:style w:type="character" w:styleId="Ukotvenpoznmkypodarou">
    <w:name w:val="Ukotvení poznámky pod čarou"/>
    <w:rPr>
      <w:vertAlign w:val="superscript"/>
    </w:rPr>
  </w:style>
  <w:style w:type="character" w:styleId="FootnoteCharacters">
    <w:name w:val="Footnote Characters"/>
    <w:semiHidden/>
    <w:qFormat/>
    <w:rsid w:val="00131160"/>
    <w:rPr>
      <w:vertAlign w:val="superscript"/>
    </w:rPr>
  </w:style>
  <w:style w:type="character" w:styleId="ZpatChar" w:customStyle="1">
    <w:name w:val="Zápatí Char"/>
    <w:link w:val="Zpat"/>
    <w:uiPriority w:val="99"/>
    <w:qFormat/>
    <w:rsid w:val="00b10e4f"/>
    <w:rPr>
      <w:sz w:val="24"/>
      <w:szCs w:val="24"/>
    </w:rPr>
  </w:style>
  <w:style w:type="character" w:styleId="Annotationreference">
    <w:name w:val="annotation reference"/>
    <w:qFormat/>
    <w:rsid w:val="00c119a6"/>
    <w:rPr>
      <w:sz w:val="16"/>
      <w:szCs w:val="16"/>
    </w:rPr>
  </w:style>
  <w:style w:type="character" w:styleId="TextkomenteChar" w:customStyle="1">
    <w:name w:val="Text komentáře Char"/>
    <w:basedOn w:val="DefaultParagraphFont"/>
    <w:link w:val="Textkomente"/>
    <w:qFormat/>
    <w:rsid w:val="00c119a6"/>
    <w:rPr/>
  </w:style>
  <w:style w:type="character" w:styleId="PedmtkomenteChar" w:customStyle="1">
    <w:name w:val="Předmět komentáře Char"/>
    <w:link w:val="Pedmtkomente"/>
    <w:qFormat/>
    <w:rsid w:val="00c119a6"/>
    <w:rPr>
      <w:b/>
      <w:bCs/>
    </w:rPr>
  </w:style>
  <w:style w:type="character" w:styleId="TextbublinyChar" w:customStyle="1">
    <w:name w:val="Text bubliny Char"/>
    <w:link w:val="Textbubliny"/>
    <w:qFormat/>
    <w:rsid w:val="00c119a6"/>
    <w:rPr>
      <w:rFonts w:ascii="Segoe UI" w:hAnsi="Segoe UI" w:cs="Segoe UI"/>
      <w:sz w:val="18"/>
      <w:szCs w:val="18"/>
    </w:rPr>
  </w:style>
  <w:style w:type="character" w:styleId="ListLabel1">
    <w:name w:val="ListLabel 1"/>
    <w:qFormat/>
    <w:rPr>
      <w:rFonts w:ascii="Arial" w:hAnsi="Arial"/>
      <w:b w:val="false"/>
      <w:i w:val="false"/>
      <w:strike w:val="false"/>
      <w:dstrike w:val="false"/>
      <w:position w:val="0"/>
      <w:sz w:val="22"/>
      <w:sz w:val="22"/>
      <w:vertAlign w:val="baseline"/>
    </w:rPr>
  </w:style>
  <w:style w:type="character" w:styleId="ListLabel2">
    <w:name w:val="ListLabel 2"/>
    <w:qFormat/>
    <w:rPr>
      <w:rFonts w:ascii="Arial" w:hAnsi="Arial"/>
      <w:b w:val="false"/>
      <w:i w:val="false"/>
      <w:strike w:val="false"/>
      <w:dstrike w:val="false"/>
      <w:position w:val="0"/>
      <w:sz w:val="22"/>
      <w:sz w:val="22"/>
      <w:vertAlign w:val="baseline"/>
    </w:rPr>
  </w:style>
  <w:style w:type="character" w:styleId="ListLabel3">
    <w:name w:val="ListLabel 3"/>
    <w:qFormat/>
    <w:rPr>
      <w:rFonts w:ascii="Arial" w:hAnsi="Arial"/>
      <w:b w:val="false"/>
      <w:i w:val="false"/>
      <w:strike w:val="false"/>
      <w:dstrike w:val="false"/>
      <w:position w:val="0"/>
      <w:sz w:val="22"/>
      <w:sz w:val="22"/>
      <w:vertAlign w:val="baseline"/>
    </w:rPr>
  </w:style>
  <w:style w:type="character" w:styleId="ListLabel4">
    <w:name w:val="ListLabel 4"/>
    <w:qFormat/>
    <w:rPr>
      <w:rFonts w:ascii="Arial" w:hAnsi="Arial"/>
      <w:b w:val="false"/>
      <w:i w:val="false"/>
      <w:strike w:val="false"/>
      <w:dstrike w:val="false"/>
      <w:position w:val="0"/>
      <w:sz w:val="22"/>
      <w:sz w:val="22"/>
      <w:vertAlign w:val="baseline"/>
    </w:rPr>
  </w:style>
  <w:style w:type="character" w:styleId="ListLabel5">
    <w:name w:val="ListLabel 5"/>
    <w:qFormat/>
    <w:rPr>
      <w:b w:val="false"/>
      <w:i w:val="false"/>
      <w:strike w:val="false"/>
      <w:dstrike w:val="false"/>
      <w:position w:val="0"/>
      <w:sz w:val="24"/>
      <w:sz w:val="24"/>
      <w:vertAlign w:val="baseline"/>
    </w:rPr>
  </w:style>
  <w:style w:type="character" w:styleId="ListLabel6">
    <w:name w:val="ListLabel 6"/>
    <w:qFormat/>
    <w:rPr>
      <w:b w:val="false"/>
      <w:i w:val="false"/>
      <w:strike w:val="false"/>
      <w:dstrike w:val="false"/>
      <w:position w:val="0"/>
      <w:sz w:val="24"/>
      <w:sz w:val="24"/>
      <w:vertAlign w:val="baseline"/>
    </w:rPr>
  </w:style>
  <w:style w:type="character" w:styleId="ListLabel7">
    <w:name w:val="ListLabel 7"/>
    <w:qFormat/>
    <w:rPr>
      <w:rFonts w:ascii="Arial" w:hAnsi="Arial"/>
      <w:b w:val="false"/>
      <w:i w:val="false"/>
      <w:strike w:val="false"/>
      <w:dstrike w:val="false"/>
      <w:color w:val="auto"/>
      <w:position w:val="0"/>
      <w:sz w:val="22"/>
      <w:sz w:val="22"/>
      <w:vertAlign w:val="baseline"/>
    </w:rPr>
  </w:style>
  <w:style w:type="character" w:styleId="ListLabel8">
    <w:name w:val="ListLabel 8"/>
    <w:qFormat/>
    <w:rPr>
      <w:rFonts w:ascii="Arial" w:hAnsi="Arial"/>
      <w:b w:val="false"/>
      <w:i w:val="false"/>
      <w:strike w:val="false"/>
      <w:dstrike w:val="false"/>
      <w:position w:val="0"/>
      <w:sz w:val="22"/>
      <w:sz w:val="22"/>
      <w:vertAlign w:val="baseline"/>
    </w:rPr>
  </w:style>
  <w:style w:type="character" w:styleId="ListLabel9">
    <w:name w:val="ListLabel 9"/>
    <w:qFormat/>
    <w:rPr>
      <w:rFonts w:ascii="Arial" w:hAnsi="Arial"/>
      <w:b w:val="false"/>
      <w:i w:val="false"/>
      <w:strike w:val="false"/>
      <w:dstrike w:val="false"/>
      <w:position w:val="0"/>
      <w:sz w:val="22"/>
      <w:sz w:val="22"/>
      <w:vertAlign w:val="baseline"/>
    </w:rPr>
  </w:style>
  <w:style w:type="character" w:styleId="ListLabel10">
    <w:name w:val="ListLabel 10"/>
    <w:qFormat/>
    <w:rPr>
      <w:rFonts w:ascii="Arial" w:hAnsi="Arial"/>
      <w:b w:val="false"/>
      <w:i w:val="false"/>
      <w:strike w:val="false"/>
      <w:dstrike w:val="false"/>
      <w:position w:val="0"/>
      <w:sz w:val="24"/>
      <w:sz w:val="24"/>
      <w:vertAlign w:val="baseline"/>
    </w:rPr>
  </w:style>
  <w:style w:type="character" w:styleId="ListLabel11">
    <w:name w:val="ListLabel 11"/>
    <w:qFormat/>
    <w:rPr>
      <w:rFonts w:ascii="Arial" w:hAnsi="Arial"/>
      <w:b w:val="false"/>
      <w:i w:val="false"/>
      <w:strike w:val="false"/>
      <w:dstrike w:val="false"/>
      <w:position w:val="0"/>
      <w:sz w:val="24"/>
      <w:sz w:val="24"/>
      <w:vertAlign w:val="baseline"/>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character" w:styleId="ListLabel12">
    <w:name w:val="ListLabel 12"/>
    <w:qFormat/>
    <w:rPr>
      <w:rFonts w:ascii="Arial" w:hAnsi="Arial"/>
      <w:b w:val="false"/>
      <w:i w:val="false"/>
      <w:strike w:val="false"/>
      <w:dstrike w:val="false"/>
      <w:position w:val="0"/>
      <w:sz w:val="22"/>
      <w:sz w:val="22"/>
      <w:vertAlign w:val="baseline"/>
    </w:rPr>
  </w:style>
  <w:style w:type="character" w:styleId="ListLabel13">
    <w:name w:val="ListLabel 13"/>
    <w:qFormat/>
    <w:rPr>
      <w:rFonts w:ascii="Arial" w:hAnsi="Arial"/>
      <w:b w:val="false"/>
      <w:i w:val="false"/>
      <w:strike w:val="false"/>
      <w:dstrike w:val="false"/>
      <w:position w:val="0"/>
      <w:sz w:val="22"/>
      <w:sz w:val="22"/>
      <w:vertAlign w:val="baseline"/>
    </w:rPr>
  </w:style>
  <w:style w:type="character" w:styleId="ListLabel14">
    <w:name w:val="ListLabel 14"/>
    <w:qFormat/>
    <w:rPr>
      <w:rFonts w:ascii="Arial" w:hAnsi="Arial"/>
      <w:b w:val="false"/>
      <w:i w:val="false"/>
      <w:strike w:val="false"/>
      <w:dstrike w:val="false"/>
      <w:position w:val="0"/>
      <w:sz w:val="22"/>
      <w:sz w:val="22"/>
      <w:vertAlign w:val="baseline"/>
    </w:rPr>
  </w:style>
  <w:style w:type="character" w:styleId="ListLabel15">
    <w:name w:val="ListLabel 15"/>
    <w:qFormat/>
    <w:rPr>
      <w:rFonts w:ascii="Arial" w:hAnsi="Arial"/>
      <w:b w:val="false"/>
      <w:i w:val="false"/>
      <w:strike w:val="false"/>
      <w:dstrike w:val="false"/>
      <w:position w:val="0"/>
      <w:sz w:val="22"/>
      <w:sz w:val="22"/>
      <w:vertAlign w:val="baseline"/>
    </w:rPr>
  </w:style>
  <w:style w:type="character" w:styleId="ListLabel16">
    <w:name w:val="ListLabel 16"/>
    <w:qFormat/>
    <w:rPr>
      <w:b w:val="false"/>
      <w:i w:val="false"/>
      <w:strike w:val="false"/>
      <w:dstrike w:val="false"/>
      <w:position w:val="0"/>
      <w:sz w:val="24"/>
      <w:sz w:val="24"/>
      <w:vertAlign w:val="baseline"/>
    </w:rPr>
  </w:style>
  <w:style w:type="character" w:styleId="ListLabel17">
    <w:name w:val="ListLabel 17"/>
    <w:qFormat/>
    <w:rPr>
      <w:rFonts w:ascii="Arial" w:hAnsi="Arial"/>
      <w:b w:val="false"/>
      <w:i w:val="false"/>
      <w:strike w:val="false"/>
      <w:dstrike w:val="false"/>
      <w:color w:val="auto"/>
      <w:position w:val="0"/>
      <w:sz w:val="22"/>
      <w:sz w:val="22"/>
      <w:vertAlign w:val="baseline"/>
    </w:rPr>
  </w:style>
  <w:style w:type="character" w:styleId="ListLabel18">
    <w:name w:val="ListLabel 18"/>
    <w:qFormat/>
    <w:rPr>
      <w:rFonts w:ascii="Arial" w:hAnsi="Arial"/>
      <w:b w:val="false"/>
      <w:i w:val="false"/>
      <w:strike w:val="false"/>
      <w:dstrike w:val="false"/>
      <w:position w:val="0"/>
      <w:sz w:val="22"/>
      <w:sz w:val="22"/>
      <w:vertAlign w:val="baseline"/>
    </w:rPr>
  </w:style>
  <w:style w:type="character" w:styleId="ListLabel19">
    <w:name w:val="ListLabel 19"/>
    <w:qFormat/>
    <w:rPr>
      <w:rFonts w:ascii="Arial" w:hAnsi="Arial"/>
      <w:b w:val="false"/>
      <w:i w:val="false"/>
      <w:strike w:val="false"/>
      <w:dstrike w:val="false"/>
      <w:position w:val="0"/>
      <w:sz w:val="22"/>
      <w:sz w:val="22"/>
      <w:vertAlign w:val="baseline"/>
    </w:rPr>
  </w:style>
  <w:style w:type="character" w:styleId="ListLabel20">
    <w:name w:val="ListLabel 20"/>
    <w:qFormat/>
    <w:rPr>
      <w:rFonts w:ascii="Arial" w:hAnsi="Arial"/>
      <w:b w:val="false"/>
      <w:i w:val="false"/>
      <w:strike w:val="false"/>
      <w:dstrike w:val="false"/>
      <w:position w:val="0"/>
      <w:sz w:val="24"/>
      <w:sz w:val="24"/>
      <w:vertAlign w:val="baseline"/>
    </w:rPr>
  </w:style>
  <w:style w:type="character" w:styleId="ListLabel21">
    <w:name w:val="ListLabel 21"/>
    <w:qFormat/>
    <w:rPr>
      <w:rFonts w:ascii="Arial" w:hAnsi="Arial"/>
      <w:b w:val="false"/>
      <w:i w:val="false"/>
      <w:strike w:val="false"/>
      <w:dstrike w:val="false"/>
      <w:position w:val="0"/>
      <w:sz w:val="24"/>
      <w:sz w:val="24"/>
      <w:vertAlign w:val="baseline"/>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rsid w:val="00131160"/>
    <w:pPr>
      <w:ind w:left="708" w:firstLine="357"/>
      <w:jc w:val="both"/>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false"/>
      <w:spacing w:lineRule="auto" w:line="228"/>
      <w:jc w:val="both"/>
      <w:textAlignment w:val="baseline"/>
    </w:pPr>
    <w:rPr>
      <w:szCs w:val="20"/>
    </w:rPr>
  </w:style>
  <w:style w:type="paragraph" w:styleId="Default" w:customStyle="1">
    <w:name w:val="Default"/>
    <w:qFormat/>
    <w:rsid w:val="00650483"/>
    <w:pPr>
      <w:widowControl/>
      <w:bidi w:val="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c119a6"/>
    <w:pPr/>
    <w:rPr>
      <w:sz w:val="20"/>
      <w:szCs w:val="20"/>
    </w:rPr>
  </w:style>
  <w:style w:type="paragraph" w:styleId="Annotationsubject">
    <w:name w:val="annotation subject"/>
    <w:basedOn w:val="Annotationtext"/>
    <w:next w:val="Annotationtext"/>
    <w:link w:val="PedmtkomenteChar"/>
    <w:qFormat/>
    <w:rsid w:val="00c119a6"/>
    <w:pPr/>
    <w:rPr>
      <w:b/>
      <w:bCs/>
    </w:rPr>
  </w:style>
  <w:style w:type="paragraph" w:styleId="BalloonText">
    <w:name w:val="Balloon Text"/>
    <w:basedOn w:val="Normal"/>
    <w:link w:val="TextbublinyChar"/>
    <w:qFormat/>
    <w:rsid w:val="00c119a6"/>
    <w:pPr/>
    <w:rPr>
      <w:rFonts w:ascii="Segoe UI" w:hAnsi="Segoe UI" w:cs="Segoe UI"/>
      <w:sz w:val="18"/>
      <w:szCs w:val="18"/>
    </w:rPr>
  </w:style>
  <w:style w:type="paragraph" w:styleId="ListParagraph">
    <w:name w:val="List Paragraph"/>
    <w:basedOn w:val="Normal"/>
    <w:uiPriority w:val="34"/>
    <w:qFormat/>
    <w:rsid w:val="0038283d"/>
    <w:pPr>
      <w:ind w:left="720" w:hanging="0"/>
    </w:pPr>
    <w:rPr>
      <w:rFonts w:ascii="Calibri" w:hAnsi="Calibri" w:eastAsia="Calibri" w:cs="Calibri"/>
      <w:sz w:val="22"/>
      <w:szCs w:val="22"/>
      <w:lang w:eastAsia="en-US"/>
    </w:rPr>
  </w:style>
  <w:style w:type="paragraph" w:styleId="Revision">
    <w:name w:val="Revision"/>
    <w:uiPriority w:val="99"/>
    <w:semiHidden/>
    <w:qFormat/>
    <w:rsid w:val="00746ae3"/>
    <w:pPr>
      <w:widowControl/>
      <w:bidi w:val="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984C1-12C3-4B74-BAE5-CABC220E7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Application>LibreOffice/6.1.4.2$Windows_X86_64 LibreOffice_project/9d0f32d1f0b509096fd65e0d4bec26ddd1938fd3</Application>
  <Pages>5</Pages>
  <Words>1128</Words>
  <Characters>6406</Characters>
  <CharactersWithSpaces>7565</CharactersWithSpaces>
  <Paragraphs>104</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2021-11-30T10:23:00Z</dcterms:created>
  <dc:creator>Mgr. Lukáš Toman</dc:creator>
  <dc:description/>
  <dc:language>cs-CZ</dc:language>
  <cp:lastModifiedBy/>
  <cp:lastPrinted>2022-12-13T11:14:51Z</cp:lastPrinted>
  <dcterms:modified xsi:type="dcterms:W3CDTF">2022-12-13T11:18:07Z</dcterms:modified>
  <cp:revision>11</cp:revision>
  <dc:subject/>
  <dc:title>Metodický materiál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Ministerstvo financí</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