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="9043" w:h="482" w:hRule="exact" w:wrap="none" w:vAnchor="page" w:hAnchor="page" w:x="1381" w:y="1002"/>
        <w:widowControl w:val="0"/>
        <w:keepNext w:val="0"/>
        <w:keepLines w:val="0"/>
        <w:shd w:val="clear" w:color="auto" w:fill="auto"/>
        <w:bidi w:val="0"/>
        <w:spacing w:before="0" w:after="0"/>
        <w:ind w:left="0" w:right="60" w:firstLine="0"/>
      </w:pPr>
      <w:bookmarkStart w:id="0" w:name="bookmark0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Nařízení obce Lednice č. 1.</w:t>
      </w:r>
      <w:bookmarkEnd w:id="0"/>
    </w:p>
    <w:p>
      <w:pPr>
        <w:pStyle w:val="Style4"/>
        <w:framePr w:w="9043" w:h="2524" w:hRule="exact" w:wrap="none" w:vAnchor="page" w:hAnchor="page" w:x="1381" w:y="1724"/>
        <w:widowControl w:val="0"/>
        <w:keepNext w:val="0"/>
        <w:keepLines w:val="0"/>
        <w:shd w:val="clear" w:color="auto" w:fill="auto"/>
        <w:bidi w:val="0"/>
        <w:spacing w:before="0" w:after="0"/>
        <w:ind w:left="0" w:right="6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kterým se stanovuje maximální cena za přiložení a odstranění technických prostředků</w:t>
      </w:r>
    </w:p>
    <w:p>
      <w:pPr>
        <w:pStyle w:val="Style4"/>
        <w:framePr w:w="9043" w:h="2524" w:hRule="exact" w:wrap="none" w:vAnchor="page" w:hAnchor="page" w:x="1381" w:y="1724"/>
        <w:widowControl w:val="0"/>
        <w:keepNext w:val="0"/>
        <w:keepLines w:val="0"/>
        <w:shd w:val="clear" w:color="auto" w:fill="auto"/>
        <w:bidi w:val="0"/>
        <w:spacing w:before="0" w:after="215"/>
        <w:ind w:left="0" w:right="6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 zabránění odjezdu vozidla</w:t>
      </w:r>
    </w:p>
    <w:p>
      <w:pPr>
        <w:pStyle w:val="Style6"/>
        <w:framePr w:w="9043" w:h="2524" w:hRule="exact" w:wrap="none" w:vAnchor="page" w:hAnchor="page" w:x="1381" w:y="172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Rada obce Lednice se na svém 5. zasedání dne 7.3.2012, usnesením č. 8/12 usnesla vydat na základě § 4a odst. 1 zákona č. 265/1991 Sb., o působnosti orgánů České republiky v oblasti cen, ve znění pozdějších předpisů, v souladu s Výměrem Ministerstva financí č. 01/2012 ze dne 28.11.2011, kterým se vydává seznam zboží s regulovanými cenami a v souladu s § 11 zákona č. 128/2000 Sb., o obcích (obecní zřízení), ve znění zákona č. 313/2002 Sb., a § 102 odst. 2 písm. d) zákona č. 128/2000 Sb., o obcích (obecní zřízení), toto nařízení:</w:t>
      </w:r>
    </w:p>
    <w:p>
      <w:pPr>
        <w:pStyle w:val="Style8"/>
        <w:framePr w:w="9043" w:h="1588" w:hRule="exact" w:wrap="none" w:vAnchor="page" w:hAnchor="page" w:x="1381" w:y="4492"/>
        <w:widowControl w:val="0"/>
        <w:keepNext w:val="0"/>
        <w:keepLines w:val="0"/>
        <w:shd w:val="clear" w:color="auto" w:fill="auto"/>
        <w:bidi w:val="0"/>
        <w:spacing w:before="0" w:after="172"/>
        <w:ind w:left="0" w:right="60" w:firstLine="0"/>
      </w:pPr>
      <w:bookmarkStart w:id="1" w:name="bookmark1"/>
      <w:r>
        <w:rPr>
          <w:lang w:val="cs-CZ" w:eastAsia="cs-CZ" w:bidi="cs-CZ"/>
          <w:rFonts w:ascii="Times New Roman" w:eastAsia="Times New Roman" w:hAnsi="Times New Roman" w:cs="Times New Roman"/>
          <w:w w:val="100"/>
          <w:color w:val="000000"/>
          <w:position w:val="0"/>
        </w:rPr>
        <w:t>Čl. 1</w:t>
      </w:r>
      <w:bookmarkEnd w:id="1"/>
    </w:p>
    <w:p>
      <w:pPr>
        <w:pStyle w:val="Style10"/>
        <w:framePr w:w="9043" w:h="1588" w:hRule="exact" w:wrap="none" w:vAnchor="page" w:hAnchor="page" w:x="1381" w:y="4492"/>
        <w:widowControl w:val="0"/>
        <w:keepNext w:val="0"/>
        <w:keepLines w:val="0"/>
        <w:shd w:val="clear" w:color="auto" w:fill="auto"/>
        <w:bidi w:val="0"/>
        <w:spacing w:before="0" w:after="162"/>
        <w:ind w:left="0" w:right="60" w:firstLine="0"/>
      </w:pPr>
      <w:bookmarkStart w:id="2" w:name="bookmark2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Maximální cena</w:t>
      </w:r>
      <w:bookmarkEnd w:id="2"/>
    </w:p>
    <w:p>
      <w:pPr>
        <w:pStyle w:val="Style6"/>
        <w:numPr>
          <w:ilvl w:val="0"/>
          <w:numId w:val="1"/>
        </w:numPr>
        <w:framePr w:w="9043" w:h="1588" w:hRule="exact" w:wrap="none" w:vAnchor="page" w:hAnchor="page" w:x="1381" w:y="4492"/>
        <w:tabs>
          <w:tab w:pos="73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740" w:right="0" w:hanging="34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Maximální paušální cena za přiložení a odstranění prostředku k zabránění odjezdu vozidla (dále jen TPZOV) se stanoví ve výši 300 Kč.</w:t>
      </w:r>
    </w:p>
    <w:p>
      <w:pPr>
        <w:pStyle w:val="Style6"/>
        <w:numPr>
          <w:ilvl w:val="0"/>
          <w:numId w:val="1"/>
        </w:numPr>
        <w:framePr w:w="9043" w:h="5628" w:hRule="exact" w:wrap="none" w:vAnchor="page" w:hAnchor="page" w:x="1381" w:y="6836"/>
        <w:tabs>
          <w:tab w:pos="7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769" w:line="274" w:lineRule="exact"/>
        <w:ind w:left="740" w:right="0" w:hanging="34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Maximální cena v sobě zahrnuje jízdní výkon na místo, přiložení technického prostředku k zabránění odjezdu vozidla, pořízení písemného záznamu a fotodokumentace o zablokování vozidla, odstranění technického prostředku a předání vozidla jeho provozovateli s vystavením potvrzení o provedeném úkonu a jeho ceně.</w:t>
      </w:r>
    </w:p>
    <w:p>
      <w:pPr>
        <w:pStyle w:val="Style6"/>
        <w:numPr>
          <w:ilvl w:val="0"/>
          <w:numId w:val="1"/>
        </w:numPr>
        <w:framePr w:w="9043" w:h="5628" w:hRule="exact" w:wrap="none" w:vAnchor="page" w:hAnchor="page" w:x="1381" w:y="6836"/>
        <w:tabs>
          <w:tab w:pos="7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2"/>
        <w:ind w:left="740" w:right="0" w:hanging="34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Maximální cenou se rozumí cena včetně daně z přidané hodnoty podle zvláštního právního předpisu ( zák. č. 235/2004 Sb., o dani z přidané hodnoty, ve znění pozdějších předpisů).</w:t>
      </w:r>
    </w:p>
    <w:p>
      <w:pPr>
        <w:pStyle w:val="Style10"/>
        <w:framePr w:w="9043" w:h="5628" w:hRule="exact" w:wrap="none" w:vAnchor="page" w:hAnchor="page" w:x="1381" w:y="6836"/>
        <w:widowControl w:val="0"/>
        <w:keepNext w:val="0"/>
        <w:keepLines w:val="0"/>
        <w:shd w:val="clear" w:color="auto" w:fill="auto"/>
        <w:bidi w:val="0"/>
        <w:spacing w:before="0" w:after="260"/>
        <w:ind w:left="0" w:right="60" w:firstLine="0"/>
      </w:pPr>
      <w:bookmarkStart w:id="3" w:name="bookmark3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čl. 2</w:t>
      </w:r>
      <w:bookmarkEnd w:id="3"/>
    </w:p>
    <w:p>
      <w:pPr>
        <w:pStyle w:val="Style10"/>
        <w:framePr w:w="9043" w:h="5628" w:hRule="exact" w:wrap="none" w:vAnchor="page" w:hAnchor="page" w:x="1381" w:y="6836"/>
        <w:widowControl w:val="0"/>
        <w:keepNext w:val="0"/>
        <w:keepLines w:val="0"/>
        <w:shd w:val="clear" w:color="auto" w:fill="auto"/>
        <w:bidi w:val="0"/>
        <w:spacing w:before="0" w:after="113"/>
        <w:ind w:left="0" w:right="60" w:firstLine="0"/>
      </w:pPr>
      <w:bookmarkStart w:id="4" w:name="bookmark4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Účinnost</w:t>
      </w:r>
      <w:bookmarkEnd w:id="4"/>
    </w:p>
    <w:p>
      <w:pPr>
        <w:pStyle w:val="Style6"/>
        <w:framePr w:w="9043" w:h="5628" w:hRule="exact" w:wrap="none" w:vAnchor="page" w:hAnchor="page" w:x="1381" w:y="6836"/>
        <w:widowControl w:val="0"/>
        <w:keepNext w:val="0"/>
        <w:keepLines w:val="0"/>
        <w:shd w:val="clear" w:color="auto" w:fill="auto"/>
        <w:bidi w:val="0"/>
        <w:jc w:val="left"/>
        <w:spacing w:before="0" w:after="0" w:line="494" w:lineRule="exact"/>
        <w:ind w:left="74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Toto nařízení nabývá účinnosti dnem vyhlášení.</w:t>
      </w:r>
    </w:p>
    <w:p>
      <w:pPr>
        <w:pStyle w:val="Style12"/>
        <w:framePr w:w="9043" w:h="5628" w:hRule="exact" w:wrap="none" w:vAnchor="page" w:hAnchor="page" w:x="1381" w:y="6836"/>
        <w:widowControl w:val="0"/>
        <w:keepNext w:val="0"/>
        <w:keepLines w:val="0"/>
        <w:shd w:val="clear" w:color="auto" w:fill="auto"/>
        <w:bidi w:val="0"/>
        <w:spacing w:before="0" w:after="0"/>
        <w:ind w:left="0" w:right="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Doložka dle § 41 zákona 128/2000 Sb. ve znění všech pozdějších změn.</w:t>
      </w:r>
    </w:p>
    <w:p>
      <w:pPr>
        <w:pStyle w:val="Style12"/>
        <w:framePr w:w="9043" w:h="5628" w:hRule="exact" w:wrap="none" w:vAnchor="page" w:hAnchor="page" w:x="1381" w:y="6836"/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2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Obec Lednice potvrzuje splnění podmínek daných zákonem č. 128/2000 Sb., ve znění všech jeho pozdějších novel a doplňků. Nařízení obce č.l. bylo schváleno radou obce Lednice dne 7.3.2012 na zasedání rady obce</w:t>
      </w:r>
    </w:p>
    <w:p>
      <w:pPr>
        <w:pStyle w:val="Style12"/>
        <w:framePr w:w="9043" w:h="5628" w:hRule="exact" w:wrap="none" w:vAnchor="page" w:hAnchor="page" w:x="1381" w:y="6836"/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Lednice č. 5/2012 usnesením č.8/12.</w:t>
      </w:r>
    </w:p>
    <w:p>
      <w:pPr>
        <w:pStyle w:val="Style14"/>
        <w:framePr w:wrap="none" w:vAnchor="page" w:hAnchor="page" w:x="1381" w:y="126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 Lednici dne :</w:t>
      </w:r>
    </w:p>
    <w:p>
      <w:pPr>
        <w:framePr w:wrap="none" w:vAnchor="page" w:hAnchor="page" w:x="1425" w:y="12969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19pt;height:74pt;">
            <v:imagedata r:id="rId5" r:href="rId6"/>
          </v:shape>
        </w:pict>
      </w:r>
    </w:p>
    <w:p>
      <w:pPr>
        <w:pStyle w:val="Style14"/>
        <w:framePr w:w="2717" w:h="1038" w:hRule="exact" w:wrap="none" w:vAnchor="page" w:hAnchor="page" w:x="1386" w:y="14972"/>
        <w:widowControl w:val="0"/>
        <w:keepNext w:val="0"/>
        <w:keepLines w:val="0"/>
        <w:shd w:val="clear" w:color="auto" w:fill="auto"/>
        <w:bidi w:val="0"/>
        <w:jc w:val="both"/>
        <w:spacing w:before="0" w:after="0" w:line="490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Vyvěšeno na úřední desce dne Sejmuto z úřední desky dne :</w:t>
      </w:r>
    </w:p>
    <w:p>
      <w:pPr>
        <w:framePr w:wrap="none" w:vAnchor="page" w:hAnchor="page" w:x="4362" w:y="13516"/>
        <w:widowControl w:val="0"/>
        <w:rPr>
          <w:sz w:val="2"/>
          <w:szCs w:val="2"/>
        </w:rPr>
      </w:pPr>
      <w:r>
        <w:pict>
          <v:shape id="_x0000_s1027" type="#_x0000_t75" style="width:150pt;height:125pt;">
            <v:imagedata r:id="rId7" r:href="rId8"/>
          </v:shape>
        </w:pict>
      </w:r>
    </w:p>
    <w:p>
      <w:pPr>
        <w:framePr w:wrap="none" w:vAnchor="page" w:hAnchor="page" w:x="8409" w:y="12739"/>
        <w:widowControl w:val="0"/>
        <w:rPr>
          <w:sz w:val="2"/>
          <w:szCs w:val="2"/>
        </w:rPr>
      </w:pPr>
      <w:r>
        <w:pict>
          <v:shape id="_x0000_s1028" type="#_x0000_t75" style="width:101pt;height:57pt;">
            <v:imagedata r:id="rId9" r:href="rId10"/>
          </v:shape>
        </w:pict>
      </w:r>
    </w:p>
    <w:p>
      <w:pPr>
        <w:pStyle w:val="Style6"/>
        <w:framePr w:w="1766" w:h="691" w:hRule="exact" w:wrap="none" w:vAnchor="page" w:hAnchor="page" w:x="8577" w:y="13882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64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RNDr. Libor Kabát starosta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ing #1|1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38"/>
      <w:szCs w:val="38"/>
    </w:rPr>
  </w:style>
  <w:style w:type="character" w:customStyle="1" w:styleId="CharStyle5">
    <w:name w:val="Body text|3_"/>
    <w:basedOn w:val="DefaultParagraphFont"/>
    <w:link w:val="Style4"/>
    <w:rPr>
      <w:b/>
      <w:bCs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7">
    <w:name w:val="Body text|2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9">
    <w:name w:val="Heading #2|1_"/>
    <w:basedOn w:val="DefaultParagraphFont"/>
    <w:link w:val="Style8"/>
    <w:rPr>
      <w:b/>
      <w:bCs/>
      <w:i w:val="0"/>
      <w:iCs w:val="0"/>
      <w:u w:val="none"/>
      <w:strike w:val="0"/>
      <w:smallCaps w:val="0"/>
      <w:sz w:val="18"/>
      <w:szCs w:val="18"/>
      <w:spacing w:val="10"/>
    </w:rPr>
  </w:style>
  <w:style w:type="character" w:customStyle="1" w:styleId="CharStyle11">
    <w:name w:val="Heading #3|1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13">
    <w:name w:val="Body text|4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5">
    <w:name w:val="Picture caption|1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2">
    <w:name w:val="Heading #1|1"/>
    <w:basedOn w:val="Normal"/>
    <w:link w:val="CharStyle3"/>
    <w:qFormat/>
    <w:pPr>
      <w:widowControl w:val="0"/>
      <w:shd w:val="clear" w:color="auto" w:fill="FFFFFF"/>
      <w:jc w:val="center"/>
      <w:outlineLvl w:val="0"/>
      <w:spacing w:after="140" w:line="420" w:lineRule="exact"/>
    </w:pPr>
    <w:rPr>
      <w:b w:val="0"/>
      <w:bCs w:val="0"/>
      <w:i w:val="0"/>
      <w:iCs w:val="0"/>
      <w:u w:val="none"/>
      <w:strike w:val="0"/>
      <w:smallCaps w:val="0"/>
      <w:sz w:val="38"/>
      <w:szCs w:val="38"/>
    </w:rPr>
  </w:style>
  <w:style w:type="paragraph" w:customStyle="1" w:styleId="Style4">
    <w:name w:val="Body text|3"/>
    <w:basedOn w:val="Normal"/>
    <w:link w:val="CharStyle5"/>
    <w:pPr>
      <w:widowControl w:val="0"/>
      <w:shd w:val="clear" w:color="auto" w:fill="FFFFFF"/>
      <w:jc w:val="center"/>
      <w:spacing w:before="140" w:line="232" w:lineRule="exact"/>
    </w:pPr>
    <w:rPr>
      <w:b/>
      <w:bCs/>
      <w:i w:val="0"/>
      <w:iCs w:val="0"/>
      <w:u w:val="none"/>
      <w:strike w:val="0"/>
      <w:smallCaps w:val="0"/>
      <w:sz w:val="21"/>
      <w:szCs w:val="21"/>
    </w:rPr>
  </w:style>
  <w:style w:type="paragraph" w:customStyle="1" w:styleId="Style6">
    <w:name w:val="Body text|2"/>
    <w:basedOn w:val="Normal"/>
    <w:link w:val="CharStyle7"/>
    <w:qFormat/>
    <w:pPr>
      <w:widowControl w:val="0"/>
      <w:shd w:val="clear" w:color="auto" w:fill="FFFFFF"/>
      <w:spacing w:before="260" w:after="260" w:line="288" w:lineRule="exact"/>
      <w:ind w:hanging="640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8">
    <w:name w:val="Heading #2|1"/>
    <w:basedOn w:val="Normal"/>
    <w:link w:val="CharStyle9"/>
    <w:qFormat/>
    <w:pPr>
      <w:widowControl w:val="0"/>
      <w:shd w:val="clear" w:color="auto" w:fill="FFFFFF"/>
      <w:jc w:val="center"/>
      <w:outlineLvl w:val="1"/>
      <w:spacing w:before="260" w:after="260" w:line="200" w:lineRule="exact"/>
    </w:pPr>
    <w:rPr>
      <w:b/>
      <w:bCs/>
      <w:i w:val="0"/>
      <w:iCs w:val="0"/>
      <w:u w:val="none"/>
      <w:strike w:val="0"/>
      <w:smallCaps w:val="0"/>
      <w:sz w:val="18"/>
      <w:szCs w:val="18"/>
      <w:spacing w:val="10"/>
    </w:rPr>
  </w:style>
  <w:style w:type="paragraph" w:customStyle="1" w:styleId="Style10">
    <w:name w:val="Heading #3|1"/>
    <w:basedOn w:val="Normal"/>
    <w:link w:val="CharStyle11"/>
    <w:qFormat/>
    <w:pPr>
      <w:widowControl w:val="0"/>
      <w:shd w:val="clear" w:color="auto" w:fill="FFFFFF"/>
      <w:jc w:val="center"/>
      <w:outlineLvl w:val="2"/>
      <w:spacing w:before="260" w:after="140" w:line="31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paragraph" w:customStyle="1" w:styleId="Style12">
    <w:name w:val="Body text|4"/>
    <w:basedOn w:val="Normal"/>
    <w:link w:val="CharStyle13"/>
    <w:pPr>
      <w:widowControl w:val="0"/>
      <w:shd w:val="clear" w:color="auto" w:fill="FFFFFF"/>
      <w:jc w:val="center"/>
      <w:spacing w:line="494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14">
    <w:name w:val="Picture caption|1"/>
    <w:basedOn w:val="Normal"/>
    <w:link w:val="CharStyle15"/>
    <w:qFormat/>
    <w:pPr>
      <w:widowControl w:val="0"/>
      <w:shd w:val="clear" w:color="auto" w:fill="FFFFFF"/>
      <w:spacing w:line="24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00206B10EE07240516095919</dc:title>
  <dc:subject/>
  <dc:creator/>
  <cp:keywords/>
</cp:coreProperties>
</file>