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1FCCB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919FA">
        <w:rPr>
          <w:rFonts w:ascii="Arial" w:hAnsi="Arial" w:cs="Arial"/>
          <w:b/>
        </w:rPr>
        <w:t xml:space="preserve"> SOLENICE</w:t>
      </w:r>
    </w:p>
    <w:p w14:paraId="0A8F3313" w14:textId="376E4B6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919FA">
        <w:rPr>
          <w:rFonts w:ascii="Arial" w:hAnsi="Arial" w:cs="Arial"/>
          <w:b/>
        </w:rPr>
        <w:t xml:space="preserve"> Solenice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8F6FF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19FA">
        <w:rPr>
          <w:rFonts w:ascii="Arial" w:hAnsi="Arial" w:cs="Arial"/>
          <w:b/>
        </w:rPr>
        <w:t>Solenice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63688E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19FA">
        <w:rPr>
          <w:rFonts w:ascii="Arial" w:hAnsi="Arial" w:cs="Arial"/>
          <w:b w:val="0"/>
          <w:sz w:val="22"/>
          <w:szCs w:val="22"/>
        </w:rPr>
        <w:t>Solenice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919FA">
        <w:rPr>
          <w:rFonts w:ascii="Arial" w:hAnsi="Arial" w:cs="Arial"/>
          <w:b w:val="0"/>
          <w:sz w:val="22"/>
          <w:szCs w:val="22"/>
        </w:rPr>
        <w:t xml:space="preserve"> </w:t>
      </w:r>
      <w:r w:rsidR="002F44AE" w:rsidRPr="002F44AE">
        <w:rPr>
          <w:rFonts w:ascii="Arial" w:hAnsi="Arial" w:cs="Arial"/>
          <w:b w:val="0"/>
          <w:sz w:val="22"/>
          <w:szCs w:val="22"/>
        </w:rPr>
        <w:t>6. prosince 2023</w:t>
      </w:r>
      <w:r w:rsidRPr="006919FA">
        <w:rPr>
          <w:rFonts w:ascii="Arial" w:hAnsi="Arial" w:cs="Arial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E10BEB2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717EFF08" w14:textId="0248A2C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FA3A08">
        <w:rPr>
          <w:rFonts w:ascii="Arial" w:hAnsi="Arial" w:cs="Arial"/>
          <w:sz w:val="22"/>
          <w:szCs w:val="22"/>
        </w:rPr>
        <w:t xml:space="preserve"> Solenice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2AC05A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F1916C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6ABF29E1" w14:textId="575CC237" w:rsidR="002F44AE" w:rsidRPr="002F44AE" w:rsidRDefault="00DB0904" w:rsidP="002F44AE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637B6BF" w14:textId="77777777" w:rsidR="002F44AE" w:rsidRDefault="00650483" w:rsidP="002F44AE">
      <w:pPr>
        <w:pStyle w:val="Default"/>
        <w:spacing w:before="24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</w:p>
    <w:p w14:paraId="117E716C" w14:textId="5F74FDC1" w:rsidR="00650483" w:rsidRDefault="00650483" w:rsidP="002F44AE">
      <w:pPr>
        <w:pStyle w:val="Default"/>
        <w:spacing w:before="240" w:afterLines="300" w:after="7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A3A08">
        <w:rPr>
          <w:sz w:val="22"/>
          <w:szCs w:val="22"/>
        </w:rPr>
        <w:t xml:space="preserve">nebo </w:t>
      </w: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6664C9DA" w:rsidR="00420423" w:rsidRPr="00BD33FD" w:rsidRDefault="009E188F" w:rsidP="00BD33F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D33FD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F70D194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7628A145" w14:textId="090E8D4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66651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DBCF81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99D880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703CDD42" w14:textId="642190B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66651">
        <w:rPr>
          <w:rFonts w:ascii="Arial" w:hAnsi="Arial" w:cs="Arial"/>
          <w:sz w:val="22"/>
          <w:szCs w:val="22"/>
        </w:rPr>
        <w:t xml:space="preserve"> </w:t>
      </w:r>
      <w:r w:rsidR="002F44AE">
        <w:rPr>
          <w:rFonts w:ascii="Arial" w:hAnsi="Arial" w:cs="Arial"/>
          <w:sz w:val="22"/>
          <w:szCs w:val="22"/>
        </w:rPr>
        <w:t>1 200</w:t>
      </w:r>
      <w:r w:rsidR="00C66651">
        <w:rPr>
          <w:rFonts w:ascii="Arial" w:hAnsi="Arial" w:cs="Arial"/>
          <w:sz w:val="22"/>
          <w:szCs w:val="22"/>
        </w:rPr>
        <w:t>,00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757AE1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1EC08A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</w:t>
      </w:r>
    </w:p>
    <w:p w14:paraId="0303D25A" w14:textId="2F48E1E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C66651">
        <w:rPr>
          <w:rFonts w:ascii="Arial" w:hAnsi="Arial" w:cs="Arial"/>
          <w:sz w:val="22"/>
          <w:szCs w:val="22"/>
        </w:rPr>
        <w:t xml:space="preserve">nebo </w:t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52BB066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CDA7B4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</w:t>
      </w:r>
    </w:p>
    <w:p w14:paraId="410E65B5" w14:textId="503800AF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C66651">
        <w:rPr>
          <w:rFonts w:ascii="Arial" w:hAnsi="Arial" w:cs="Arial"/>
          <w:sz w:val="22"/>
          <w:szCs w:val="22"/>
        </w:rPr>
        <w:t>nebo j</w:t>
      </w:r>
      <w:r w:rsidRPr="006A4A80">
        <w:rPr>
          <w:rFonts w:ascii="Arial" w:hAnsi="Arial" w:cs="Arial"/>
          <w:sz w:val="22"/>
          <w:szCs w:val="22"/>
        </w:rPr>
        <w:t>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AA2819D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7FC0B856" w14:textId="307BE74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66651">
        <w:rPr>
          <w:rFonts w:ascii="Arial" w:hAnsi="Arial" w:cs="Arial"/>
          <w:sz w:val="22"/>
          <w:szCs w:val="22"/>
        </w:rPr>
        <w:t>31.března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0EC5B5E" w14:textId="77777777" w:rsidR="00BD33FD" w:rsidRPr="002E0EAD" w:rsidRDefault="00BD33FD" w:rsidP="00B71306">
      <w:pPr>
        <w:pStyle w:val="Nzvylnk"/>
        <w:rPr>
          <w:rFonts w:ascii="Arial" w:hAnsi="Arial" w:cs="Arial"/>
        </w:rPr>
      </w:pPr>
    </w:p>
    <w:p w14:paraId="724ED61B" w14:textId="0028C06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516460FE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</w:t>
      </w:r>
    </w:p>
    <w:p w14:paraId="7000523F" w14:textId="281B633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</w:t>
      </w:r>
      <w:r w:rsidR="000401E7"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255BCA46" w14:textId="77777777" w:rsidR="004D4023" w:rsidRDefault="004D4023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124BB35" w14:textId="79D5F1E0" w:rsidR="00131160" w:rsidRDefault="00131160" w:rsidP="000401E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F52A753" w14:textId="6DF1EB7B" w:rsidR="000401E7" w:rsidRDefault="000401E7" w:rsidP="000401E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se zdržuje déle než 11 měsíců v příslušném kalendářním roce mimo území obce,</w:t>
      </w:r>
    </w:p>
    <w:p w14:paraId="60C62193" w14:textId="305BBCAA" w:rsidR="000401E7" w:rsidRDefault="000401E7" w:rsidP="000401E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 místem pobytu v sídle ohlašovny</w:t>
      </w:r>
      <w:r w:rsidR="004D4023">
        <w:rPr>
          <w:rFonts w:ascii="Arial" w:hAnsi="Arial" w:cs="Arial"/>
          <w:sz w:val="22"/>
          <w:szCs w:val="22"/>
        </w:rPr>
        <w:t>,</w:t>
      </w:r>
    </w:p>
    <w:p w14:paraId="1AD06950" w14:textId="7AC75000" w:rsidR="004D4023" w:rsidRPr="000401E7" w:rsidRDefault="004D4023" w:rsidP="000401E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se narodila v příslušném kalendářním roce.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04712BB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D4023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C38DB22" w14:textId="77777777" w:rsidR="00BD33FD" w:rsidRDefault="00BD33FD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55ADCA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4D4023">
        <w:rPr>
          <w:rFonts w:ascii="Arial" w:hAnsi="Arial" w:cs="Arial"/>
          <w:sz w:val="22"/>
          <w:szCs w:val="22"/>
        </w:rPr>
        <w:t xml:space="preserve"> 1/2021</w:t>
      </w:r>
      <w:r w:rsidR="004D4023">
        <w:rPr>
          <w:rFonts w:ascii="Arial" w:hAnsi="Arial" w:cs="Arial"/>
          <w:iCs/>
          <w:sz w:val="22"/>
          <w:szCs w:val="22"/>
        </w:rPr>
        <w:t xml:space="preserve">, Obecně závazná vyhláška obce Solenice </w:t>
      </w:r>
      <w:r w:rsidR="00E357A5">
        <w:rPr>
          <w:rFonts w:ascii="Arial" w:hAnsi="Arial" w:cs="Arial"/>
          <w:iCs/>
          <w:sz w:val="22"/>
          <w:szCs w:val="22"/>
        </w:rPr>
        <w:t>o místním poplatku za obecní systém odpadového hospodářství, ze dne 20.prosince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DA7A4E" w14:textId="77777777" w:rsidR="00E357A5" w:rsidRDefault="00E357A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713D7349" w:rsidR="008D6906" w:rsidRPr="002E0EAD" w:rsidRDefault="008D6906" w:rsidP="00BD33FD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357A5">
        <w:rPr>
          <w:rFonts w:ascii="Arial" w:hAnsi="Arial" w:cs="Arial"/>
          <w:sz w:val="22"/>
          <w:szCs w:val="22"/>
        </w:rPr>
        <w:t xml:space="preserve"> 1. ledna 2024.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7BF09071" w14:textId="77777777" w:rsidR="00E357A5" w:rsidRDefault="00E357A5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518FC8CA" w14:textId="77777777" w:rsidR="00E357A5" w:rsidRDefault="00E357A5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48392F23" w14:textId="77777777" w:rsidR="00E357A5" w:rsidRDefault="00E357A5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3F0F0477" w14:textId="77777777" w:rsidR="00E357A5" w:rsidRPr="00E357A5" w:rsidRDefault="00E357A5" w:rsidP="006402B9">
      <w:pPr>
        <w:spacing w:before="120" w:line="264" w:lineRule="auto"/>
        <w:ind w:firstLine="708"/>
        <w:jc w:val="both"/>
        <w:rPr>
          <w:rFonts w:ascii="Arial" w:hAnsi="Arial" w:cs="Arial"/>
          <w:iCs/>
          <w:color w:val="ED7D31" w:themeColor="accent2"/>
          <w:sz w:val="20"/>
          <w:szCs w:val="20"/>
        </w:rPr>
      </w:pPr>
    </w:p>
    <w:p w14:paraId="7701B364" w14:textId="4B1316EB" w:rsidR="00E630DD" w:rsidRPr="000C2DC4" w:rsidRDefault="00E357A5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Petra Burešová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                                                            Lukáš Kornfeld v.r.</w:t>
      </w:r>
    </w:p>
    <w:p w14:paraId="174C0CD3" w14:textId="1CAC447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357A5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E357A5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E402" w14:textId="77777777" w:rsidR="00166213" w:rsidRDefault="00166213">
      <w:r>
        <w:separator/>
      </w:r>
    </w:p>
  </w:endnote>
  <w:endnote w:type="continuationSeparator" w:id="0">
    <w:p w14:paraId="0FF79E9C" w14:textId="77777777" w:rsidR="00166213" w:rsidRDefault="0016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42A4" w14:textId="77777777" w:rsidR="00166213" w:rsidRDefault="00166213">
      <w:r>
        <w:separator/>
      </w:r>
    </w:p>
  </w:footnote>
  <w:footnote w:type="continuationSeparator" w:id="0">
    <w:p w14:paraId="5F5512BC" w14:textId="77777777" w:rsidR="00166213" w:rsidRDefault="0016621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87509582">
    <w:abstractNumId w:val="15"/>
  </w:num>
  <w:num w:numId="2" w16cid:durableId="1244411620">
    <w:abstractNumId w:val="8"/>
  </w:num>
  <w:num w:numId="3" w16cid:durableId="968239029">
    <w:abstractNumId w:val="21"/>
  </w:num>
  <w:num w:numId="4" w16cid:durableId="309288427">
    <w:abstractNumId w:val="9"/>
  </w:num>
  <w:num w:numId="5" w16cid:durableId="387069018">
    <w:abstractNumId w:val="6"/>
  </w:num>
  <w:num w:numId="6" w16cid:durableId="947784120">
    <w:abstractNumId w:val="28"/>
  </w:num>
  <w:num w:numId="7" w16cid:durableId="100036477">
    <w:abstractNumId w:val="12"/>
  </w:num>
  <w:num w:numId="8" w16cid:durableId="1406300462">
    <w:abstractNumId w:val="14"/>
  </w:num>
  <w:num w:numId="9" w16cid:durableId="144051720">
    <w:abstractNumId w:val="11"/>
  </w:num>
  <w:num w:numId="10" w16cid:durableId="748306837">
    <w:abstractNumId w:val="0"/>
  </w:num>
  <w:num w:numId="11" w16cid:durableId="1051265097">
    <w:abstractNumId w:val="10"/>
  </w:num>
  <w:num w:numId="12" w16cid:durableId="744685845">
    <w:abstractNumId w:val="7"/>
  </w:num>
  <w:num w:numId="13" w16cid:durableId="1194994950">
    <w:abstractNumId w:val="19"/>
  </w:num>
  <w:num w:numId="14" w16cid:durableId="1070154813">
    <w:abstractNumId w:val="27"/>
  </w:num>
  <w:num w:numId="15" w16cid:durableId="655837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1120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8967189">
    <w:abstractNumId w:val="24"/>
  </w:num>
  <w:num w:numId="18" w16cid:durableId="2093503017">
    <w:abstractNumId w:val="5"/>
  </w:num>
  <w:num w:numId="19" w16cid:durableId="1794399211">
    <w:abstractNumId w:val="25"/>
  </w:num>
  <w:num w:numId="20" w16cid:durableId="919095973">
    <w:abstractNumId w:val="17"/>
  </w:num>
  <w:num w:numId="21" w16cid:durableId="1218081744">
    <w:abstractNumId w:val="22"/>
  </w:num>
  <w:num w:numId="22" w16cid:durableId="1039866029">
    <w:abstractNumId w:val="4"/>
  </w:num>
  <w:num w:numId="23" w16cid:durableId="351498153">
    <w:abstractNumId w:val="29"/>
  </w:num>
  <w:num w:numId="24" w16cid:durableId="16095044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98134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8740553">
    <w:abstractNumId w:val="1"/>
  </w:num>
  <w:num w:numId="27" w16cid:durableId="1096752921">
    <w:abstractNumId w:val="20"/>
  </w:num>
  <w:num w:numId="28" w16cid:durableId="1798445781">
    <w:abstractNumId w:val="18"/>
  </w:num>
  <w:num w:numId="29" w16cid:durableId="2125878925">
    <w:abstractNumId w:val="2"/>
  </w:num>
  <w:num w:numId="30" w16cid:durableId="1409962500">
    <w:abstractNumId w:val="13"/>
  </w:num>
  <w:num w:numId="31" w16cid:durableId="1709447753">
    <w:abstractNumId w:val="13"/>
  </w:num>
  <w:num w:numId="32" w16cid:durableId="1395544275">
    <w:abstractNumId w:val="23"/>
  </w:num>
  <w:num w:numId="33" w16cid:durableId="2048601748">
    <w:abstractNumId w:val="26"/>
  </w:num>
  <w:num w:numId="34" w16cid:durableId="2108962375">
    <w:abstractNumId w:val="3"/>
  </w:num>
  <w:num w:numId="35" w16cid:durableId="3436362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1E7"/>
    <w:rsid w:val="000408D0"/>
    <w:rsid w:val="00040EA6"/>
    <w:rsid w:val="000538DD"/>
    <w:rsid w:val="000566F2"/>
    <w:rsid w:val="00057B7F"/>
    <w:rsid w:val="00064D3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21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7D80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4AE"/>
    <w:rsid w:val="002F75B4"/>
    <w:rsid w:val="00300CCD"/>
    <w:rsid w:val="00302A97"/>
    <w:rsid w:val="00303591"/>
    <w:rsid w:val="00303995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4023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6DD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9F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0B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5A41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1AEB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33FD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6651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57A5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0D9"/>
    <w:rsid w:val="00F663ED"/>
    <w:rsid w:val="00F716C9"/>
    <w:rsid w:val="00F71D1C"/>
    <w:rsid w:val="00F8166C"/>
    <w:rsid w:val="00F91DE1"/>
    <w:rsid w:val="00FA3A08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Tesková</cp:lastModifiedBy>
  <cp:revision>14</cp:revision>
  <cp:lastPrinted>2023-11-01T12:57:00Z</cp:lastPrinted>
  <dcterms:created xsi:type="dcterms:W3CDTF">2023-10-31T11:57:00Z</dcterms:created>
  <dcterms:modified xsi:type="dcterms:W3CDTF">2023-12-07T09:39:00Z</dcterms:modified>
</cp:coreProperties>
</file>