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DAF" w:rsidRPr="00D95470" w:rsidRDefault="002B4DAF" w:rsidP="002B4DA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5470">
        <w:rPr>
          <w:rFonts w:ascii="Arial" w:hAnsi="Arial" w:cs="Arial"/>
          <w:b/>
          <w:sz w:val="24"/>
          <w:szCs w:val="24"/>
        </w:rPr>
        <w:t xml:space="preserve">Obec </w:t>
      </w:r>
      <w:r w:rsidRPr="00D95470">
        <w:rPr>
          <w:rFonts w:ascii="Arial" w:hAnsi="Arial" w:cs="Arial"/>
          <w:b/>
          <w:sz w:val="24"/>
          <w:szCs w:val="24"/>
        </w:rPr>
        <w:t>Nebílovy</w:t>
      </w:r>
    </w:p>
    <w:p w:rsidR="002B4DAF" w:rsidRPr="00D95470" w:rsidRDefault="002B4DAF" w:rsidP="002B4DA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5470">
        <w:rPr>
          <w:rFonts w:ascii="Arial" w:hAnsi="Arial" w:cs="Arial"/>
          <w:b/>
          <w:sz w:val="24"/>
          <w:szCs w:val="24"/>
        </w:rPr>
        <w:t>Zastupitelstvo obce</w:t>
      </w:r>
      <w:r w:rsidRPr="00D95470">
        <w:rPr>
          <w:rFonts w:ascii="Arial" w:hAnsi="Arial" w:cs="Arial"/>
          <w:b/>
          <w:sz w:val="24"/>
          <w:szCs w:val="24"/>
        </w:rPr>
        <w:t xml:space="preserve"> Nebílovy</w:t>
      </w:r>
    </w:p>
    <w:p w:rsidR="002B4DAF" w:rsidRPr="00D95470" w:rsidRDefault="002B4DAF" w:rsidP="002B4DA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2B4DAF" w:rsidRPr="00D95470" w:rsidRDefault="002B4DAF" w:rsidP="002B4DA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547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Pr="00D95470">
        <w:rPr>
          <w:rFonts w:ascii="Arial" w:hAnsi="Arial" w:cs="Arial"/>
          <w:b/>
          <w:sz w:val="24"/>
          <w:szCs w:val="24"/>
        </w:rPr>
        <w:t>Nebílovy</w:t>
      </w:r>
    </w:p>
    <w:p w:rsidR="002B4DAF" w:rsidRPr="00D95470" w:rsidRDefault="002B4DAF" w:rsidP="002B4DA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5470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2B4DAF" w:rsidRPr="00D95470" w:rsidRDefault="002B4DAF" w:rsidP="002B4DAF">
      <w:pPr>
        <w:spacing w:line="276" w:lineRule="auto"/>
        <w:jc w:val="center"/>
        <w:rPr>
          <w:rFonts w:ascii="Arial" w:hAnsi="Arial" w:cs="Arial"/>
        </w:rPr>
      </w:pPr>
    </w:p>
    <w:p w:rsidR="002B4DAF" w:rsidRPr="00D95470" w:rsidRDefault="002B4DAF" w:rsidP="002B4DAF">
      <w:pPr>
        <w:spacing w:line="276" w:lineRule="auto"/>
        <w:rPr>
          <w:rFonts w:ascii="Arial" w:hAnsi="Arial" w:cs="Arial"/>
        </w:rPr>
      </w:pPr>
      <w:r w:rsidRPr="00D95470">
        <w:rPr>
          <w:rFonts w:ascii="Arial" w:hAnsi="Arial" w:cs="Arial"/>
        </w:rPr>
        <w:t xml:space="preserve">Zastupitelstvo obce </w:t>
      </w:r>
      <w:r w:rsidRPr="00D95470">
        <w:rPr>
          <w:rFonts w:ascii="Arial" w:hAnsi="Arial" w:cs="Arial"/>
        </w:rPr>
        <w:t>Nebílovy</w:t>
      </w:r>
      <w:r w:rsidRPr="00D95470">
        <w:rPr>
          <w:rFonts w:ascii="Arial" w:hAnsi="Arial" w:cs="Arial"/>
        </w:rPr>
        <w:t xml:space="preserve"> se na svém zasedání dne </w:t>
      </w:r>
      <w:r w:rsidRPr="00D95470">
        <w:rPr>
          <w:rFonts w:ascii="Arial" w:hAnsi="Arial" w:cs="Arial"/>
        </w:rPr>
        <w:t>15. 7. 2024 usnesením č. 1</w:t>
      </w:r>
      <w:r w:rsidR="00D95470" w:rsidRPr="00D95470">
        <w:rPr>
          <w:rFonts w:ascii="Arial" w:hAnsi="Arial" w:cs="Arial"/>
        </w:rPr>
        <w:t>2</w:t>
      </w:r>
      <w:r w:rsidRPr="00D95470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2B4DAF" w:rsidRPr="00D95470" w:rsidRDefault="002B4DAF" w:rsidP="002B4DAF">
      <w:pPr>
        <w:spacing w:line="276" w:lineRule="auto"/>
        <w:rPr>
          <w:rFonts w:ascii="Arial" w:hAnsi="Arial" w:cs="Arial"/>
        </w:rPr>
      </w:pPr>
    </w:p>
    <w:p w:rsidR="002B4DAF" w:rsidRPr="00D95470" w:rsidRDefault="002B4DAF" w:rsidP="002B4DA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95470">
        <w:rPr>
          <w:rFonts w:ascii="Arial" w:hAnsi="Arial" w:cs="Arial"/>
          <w:b/>
          <w:szCs w:val="24"/>
        </w:rPr>
        <w:t>Čl. 1</w:t>
      </w:r>
    </w:p>
    <w:p w:rsidR="002B4DAF" w:rsidRPr="00D95470" w:rsidRDefault="002B4DAF" w:rsidP="002B4DA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95470">
        <w:rPr>
          <w:rFonts w:ascii="Arial" w:hAnsi="Arial" w:cs="Arial"/>
          <w:b/>
          <w:szCs w:val="24"/>
        </w:rPr>
        <w:t>Místní koeficient pro jednotlivé skupiny nemovitých věcí</w:t>
      </w:r>
    </w:p>
    <w:p w:rsidR="002B4DAF" w:rsidRPr="00D95470" w:rsidRDefault="002B4DAF" w:rsidP="002B4DA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95470">
        <w:rPr>
          <w:rFonts w:ascii="Arial" w:hAnsi="Arial" w:cs="Arial"/>
        </w:rPr>
        <w:t xml:space="preserve">Obec </w:t>
      </w:r>
      <w:r w:rsidRPr="00D95470">
        <w:rPr>
          <w:rFonts w:ascii="Arial" w:hAnsi="Arial" w:cs="Arial"/>
        </w:rPr>
        <w:t xml:space="preserve">Nebílovy </w:t>
      </w:r>
      <w:r w:rsidRPr="00D95470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:rsidR="002B4DAF" w:rsidRPr="00D95470" w:rsidRDefault="002B4DAF" w:rsidP="002B4DA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95470">
        <w:rPr>
          <w:rFonts w:ascii="Arial" w:hAnsi="Arial" w:cs="Arial"/>
        </w:rPr>
        <w:t>rekreační budovy</w:t>
      </w:r>
      <w:r w:rsidRPr="00D95470">
        <w:rPr>
          <w:rFonts w:ascii="Arial" w:hAnsi="Arial" w:cs="Arial"/>
        </w:rPr>
        <w:tab/>
      </w:r>
      <w:r w:rsidRPr="00D95470">
        <w:rPr>
          <w:rFonts w:ascii="Arial" w:hAnsi="Arial" w:cs="Arial"/>
        </w:rPr>
        <w:tab/>
      </w:r>
      <w:r w:rsidRPr="00D95470">
        <w:rPr>
          <w:rFonts w:ascii="Arial" w:hAnsi="Arial" w:cs="Arial"/>
        </w:rPr>
        <w:tab/>
      </w:r>
      <w:r w:rsidRPr="00D95470">
        <w:rPr>
          <w:rFonts w:ascii="Arial" w:hAnsi="Arial" w:cs="Arial"/>
        </w:rPr>
        <w:tab/>
      </w:r>
      <w:r w:rsidRPr="00D95470">
        <w:rPr>
          <w:rFonts w:ascii="Arial" w:hAnsi="Arial" w:cs="Arial"/>
        </w:rPr>
        <w:tab/>
      </w:r>
      <w:r w:rsidRPr="00D95470">
        <w:rPr>
          <w:rFonts w:ascii="Arial" w:hAnsi="Arial" w:cs="Arial"/>
        </w:rPr>
        <w:tab/>
        <w:t xml:space="preserve">koeficient </w:t>
      </w:r>
      <w:r w:rsidRPr="00D95470">
        <w:rPr>
          <w:rFonts w:ascii="Arial" w:hAnsi="Arial" w:cs="Arial"/>
        </w:rPr>
        <w:t>1,5.</w:t>
      </w:r>
    </w:p>
    <w:p w:rsidR="002B4DAF" w:rsidRPr="00D95470" w:rsidRDefault="002B4DAF" w:rsidP="002B4DA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95470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Pr="00D95470">
        <w:rPr>
          <w:rFonts w:ascii="Arial" w:hAnsi="Arial" w:cs="Arial"/>
        </w:rPr>
        <w:t>Nebílovy</w:t>
      </w:r>
      <w:r w:rsidRPr="00D95470">
        <w:rPr>
          <w:rFonts w:ascii="Arial" w:hAnsi="Arial" w:cs="Arial"/>
        </w:rPr>
        <w:t>.</w:t>
      </w:r>
    </w:p>
    <w:p w:rsidR="002B4DAF" w:rsidRPr="00D95470" w:rsidRDefault="002B4DAF" w:rsidP="002B4DAF">
      <w:pPr>
        <w:keepNext/>
        <w:spacing w:line="276" w:lineRule="auto"/>
        <w:jc w:val="center"/>
        <w:rPr>
          <w:rFonts w:ascii="Arial" w:hAnsi="Arial" w:cs="Arial"/>
          <w:b/>
        </w:rPr>
      </w:pPr>
      <w:r w:rsidRPr="00D95470">
        <w:rPr>
          <w:rFonts w:ascii="Arial" w:hAnsi="Arial" w:cs="Arial"/>
          <w:b/>
        </w:rPr>
        <w:t>Čl. 2</w:t>
      </w:r>
    </w:p>
    <w:p w:rsidR="002B4DAF" w:rsidRPr="00D95470" w:rsidRDefault="002B4DAF" w:rsidP="002B4DAF">
      <w:pPr>
        <w:keepNext/>
        <w:spacing w:line="276" w:lineRule="auto"/>
        <w:jc w:val="center"/>
        <w:rPr>
          <w:rFonts w:ascii="Arial" w:hAnsi="Arial" w:cs="Arial"/>
          <w:b/>
        </w:rPr>
      </w:pPr>
      <w:r w:rsidRPr="00D95470">
        <w:rPr>
          <w:rFonts w:ascii="Arial" w:hAnsi="Arial" w:cs="Arial"/>
          <w:b/>
        </w:rPr>
        <w:t>Zrušovací ustanovení</w:t>
      </w:r>
    </w:p>
    <w:p w:rsidR="002B4DAF" w:rsidRPr="00D95470" w:rsidRDefault="002B4DAF" w:rsidP="002B4DAF">
      <w:pPr>
        <w:spacing w:line="276" w:lineRule="auto"/>
        <w:ind w:firstLine="709"/>
        <w:rPr>
          <w:rFonts w:ascii="Arial" w:hAnsi="Arial" w:cs="Arial"/>
        </w:rPr>
      </w:pPr>
      <w:r w:rsidRPr="00D95470">
        <w:rPr>
          <w:rFonts w:ascii="Arial" w:hAnsi="Arial" w:cs="Arial"/>
        </w:rPr>
        <w:t xml:space="preserve">Zrušuje se obecně závazná vyhláška obce </w:t>
      </w:r>
      <w:r w:rsidRPr="00D95470">
        <w:rPr>
          <w:rFonts w:ascii="Arial" w:hAnsi="Arial" w:cs="Arial"/>
        </w:rPr>
        <w:t xml:space="preserve">Nebílovy </w:t>
      </w:r>
      <w:r w:rsidRPr="00D95470">
        <w:rPr>
          <w:rFonts w:ascii="Arial" w:hAnsi="Arial" w:cs="Arial"/>
        </w:rPr>
        <w:t xml:space="preserve">č. </w:t>
      </w:r>
      <w:r w:rsidR="00842EE1" w:rsidRPr="00D95470">
        <w:rPr>
          <w:rFonts w:ascii="Arial" w:hAnsi="Arial" w:cs="Arial"/>
        </w:rPr>
        <w:t>1</w:t>
      </w:r>
      <w:r w:rsidRPr="00D95470">
        <w:rPr>
          <w:rFonts w:ascii="Arial" w:hAnsi="Arial" w:cs="Arial"/>
        </w:rPr>
        <w:t>/</w:t>
      </w:r>
      <w:r w:rsidR="00842EE1" w:rsidRPr="00D95470">
        <w:rPr>
          <w:rFonts w:ascii="Arial" w:hAnsi="Arial" w:cs="Arial"/>
        </w:rPr>
        <w:t>2023</w:t>
      </w:r>
      <w:r w:rsidRPr="00D95470">
        <w:rPr>
          <w:rFonts w:ascii="Arial" w:hAnsi="Arial" w:cs="Arial"/>
        </w:rPr>
        <w:t xml:space="preserve"> </w:t>
      </w:r>
      <w:bookmarkStart w:id="0" w:name="_GoBack"/>
      <w:r w:rsidR="00842EE1" w:rsidRPr="00D95470">
        <w:rPr>
          <w:rFonts w:ascii="Arial" w:hAnsi="Arial" w:cs="Arial"/>
        </w:rPr>
        <w:t>o stanovení koeficientu pro výpočet daně z nemovitých věcí</w:t>
      </w:r>
      <w:r w:rsidRPr="00D95470">
        <w:rPr>
          <w:rFonts w:ascii="Arial" w:hAnsi="Arial" w:cs="Arial"/>
        </w:rPr>
        <w:t>,</w:t>
      </w:r>
      <w:bookmarkEnd w:id="0"/>
      <w:r w:rsidRPr="00D95470">
        <w:rPr>
          <w:rFonts w:ascii="Arial" w:hAnsi="Arial" w:cs="Arial"/>
        </w:rPr>
        <w:t xml:space="preserve"> ze dne </w:t>
      </w:r>
      <w:r w:rsidR="00D95470" w:rsidRPr="00D95470">
        <w:rPr>
          <w:rFonts w:ascii="Arial" w:hAnsi="Arial" w:cs="Arial"/>
        </w:rPr>
        <w:t>17. 4. 2023</w:t>
      </w:r>
    </w:p>
    <w:p w:rsidR="002B4DAF" w:rsidRPr="00D95470" w:rsidRDefault="002B4DAF" w:rsidP="002B4DAF">
      <w:pPr>
        <w:spacing w:line="276" w:lineRule="auto"/>
        <w:rPr>
          <w:rFonts w:ascii="Arial" w:hAnsi="Arial" w:cs="Arial"/>
        </w:rPr>
      </w:pPr>
    </w:p>
    <w:p w:rsidR="002B4DAF" w:rsidRPr="00D95470" w:rsidRDefault="002B4DAF" w:rsidP="002B4DAF">
      <w:pPr>
        <w:keepNext/>
        <w:spacing w:line="276" w:lineRule="auto"/>
        <w:jc w:val="center"/>
        <w:rPr>
          <w:rFonts w:ascii="Arial" w:hAnsi="Arial" w:cs="Arial"/>
          <w:b/>
        </w:rPr>
      </w:pPr>
      <w:r w:rsidRPr="00D95470">
        <w:rPr>
          <w:rFonts w:ascii="Arial" w:hAnsi="Arial" w:cs="Arial"/>
          <w:b/>
        </w:rPr>
        <w:t>Čl. 3</w:t>
      </w:r>
    </w:p>
    <w:p w:rsidR="002B4DAF" w:rsidRPr="00D95470" w:rsidRDefault="002B4DAF" w:rsidP="002B4DAF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D95470">
        <w:rPr>
          <w:rFonts w:ascii="Arial" w:hAnsi="Arial" w:cs="Arial"/>
          <w:b/>
        </w:rPr>
        <w:t>Účinnost</w:t>
      </w:r>
    </w:p>
    <w:p w:rsidR="002B4DAF" w:rsidRPr="00D95470" w:rsidRDefault="002B4DAF" w:rsidP="002B4DAF">
      <w:pPr>
        <w:spacing w:line="276" w:lineRule="auto"/>
        <w:ind w:firstLine="709"/>
        <w:rPr>
          <w:rFonts w:ascii="Arial" w:hAnsi="Arial" w:cs="Arial"/>
        </w:rPr>
      </w:pPr>
      <w:r w:rsidRPr="00D95470">
        <w:rPr>
          <w:rFonts w:ascii="Arial" w:hAnsi="Arial" w:cs="Arial"/>
        </w:rPr>
        <w:t xml:space="preserve">Tato obecně závazná vyhláška nabývá účinnosti dnem 1. ledna </w:t>
      </w:r>
      <w:r w:rsidR="00842EE1" w:rsidRPr="00D95470">
        <w:rPr>
          <w:rFonts w:ascii="Arial" w:hAnsi="Arial" w:cs="Arial"/>
        </w:rPr>
        <w:t>2025</w:t>
      </w:r>
      <w:r w:rsidRPr="00D95470">
        <w:rPr>
          <w:rFonts w:ascii="Arial" w:hAnsi="Arial" w:cs="Arial"/>
        </w:rPr>
        <w:t>.</w:t>
      </w:r>
    </w:p>
    <w:p w:rsidR="002B4DAF" w:rsidRDefault="002B4DAF" w:rsidP="002B4DAF">
      <w:pPr>
        <w:spacing w:line="276" w:lineRule="auto"/>
        <w:rPr>
          <w:rFonts w:ascii="Arial" w:hAnsi="Arial" w:cs="Arial"/>
        </w:rPr>
      </w:pPr>
    </w:p>
    <w:p w:rsidR="002B4DAF" w:rsidRPr="0062486B" w:rsidRDefault="002B4DAF" w:rsidP="002B4DAF">
      <w:pPr>
        <w:spacing w:line="276" w:lineRule="auto"/>
        <w:rPr>
          <w:rFonts w:ascii="Arial" w:hAnsi="Arial" w:cs="Arial"/>
        </w:rPr>
      </w:pPr>
    </w:p>
    <w:p w:rsidR="002B4DAF" w:rsidRPr="0062486B" w:rsidRDefault="002B4DAF" w:rsidP="002B4DAF">
      <w:pPr>
        <w:spacing w:line="276" w:lineRule="auto"/>
        <w:rPr>
          <w:rFonts w:ascii="Arial" w:hAnsi="Arial" w:cs="Arial"/>
        </w:rPr>
      </w:pPr>
    </w:p>
    <w:p w:rsidR="002B4DAF" w:rsidRPr="0062486B" w:rsidRDefault="002B4DAF" w:rsidP="002B4DAF">
      <w:pPr>
        <w:spacing w:line="276" w:lineRule="auto"/>
        <w:rPr>
          <w:rFonts w:ascii="Arial" w:hAnsi="Arial" w:cs="Arial"/>
        </w:rPr>
        <w:sectPr w:rsidR="002B4DAF" w:rsidRPr="0062486B" w:rsidSect="002B4DAF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:rsidR="002B4DAF" w:rsidRPr="0062486B" w:rsidRDefault="002B4DAF" w:rsidP="002B4DA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2B4DAF" w:rsidRPr="0062486B" w:rsidRDefault="00D95470" w:rsidP="002B4DA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Vladislav Matoušek v.r.</w:t>
      </w:r>
    </w:p>
    <w:p w:rsidR="002B4DAF" w:rsidRPr="0062486B" w:rsidRDefault="002B4DAF" w:rsidP="002B4DA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2B4DAF" w:rsidRPr="0062486B" w:rsidRDefault="00D95470" w:rsidP="002B4DA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Iva Hrubá v.r.</w:t>
      </w:r>
    </w:p>
    <w:p w:rsidR="002B4DAF" w:rsidRDefault="002B4DAF" w:rsidP="002B4DA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 w:rsidR="00D95470">
        <w:rPr>
          <w:rFonts w:ascii="Arial" w:hAnsi="Arial" w:cs="Arial"/>
        </w:rPr>
        <w:t>a</w:t>
      </w:r>
    </w:p>
    <w:p w:rsidR="00D95470" w:rsidRPr="0062486B" w:rsidRDefault="00D95470" w:rsidP="00D95470">
      <w:pPr>
        <w:spacing w:line="276" w:lineRule="auto"/>
        <w:rPr>
          <w:rFonts w:ascii="Arial" w:hAnsi="Arial" w:cs="Arial"/>
        </w:rPr>
        <w:sectPr w:rsidR="00D95470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765E3" w:rsidRPr="00D95470" w:rsidRDefault="002765E3" w:rsidP="00D95470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2765E3" w:rsidRPr="00D95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2F8" w:rsidRDefault="00EA12F8" w:rsidP="002B4DAF">
      <w:pPr>
        <w:spacing w:after="0"/>
      </w:pPr>
      <w:r>
        <w:separator/>
      </w:r>
    </w:p>
  </w:endnote>
  <w:endnote w:type="continuationSeparator" w:id="0">
    <w:p w:rsidR="00EA12F8" w:rsidRDefault="00EA12F8" w:rsidP="002B4D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:rsidR="002B4DAF" w:rsidRPr="00456B24" w:rsidRDefault="002B4DA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9547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B4DAF" w:rsidRDefault="002B4DA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2F8" w:rsidRDefault="00EA12F8" w:rsidP="002B4DAF">
      <w:pPr>
        <w:spacing w:after="0"/>
      </w:pPr>
      <w:r>
        <w:separator/>
      </w:r>
    </w:p>
  </w:footnote>
  <w:footnote w:type="continuationSeparator" w:id="0">
    <w:p w:rsidR="00EA12F8" w:rsidRDefault="00EA12F8" w:rsidP="002B4D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AF"/>
    <w:rsid w:val="002765E3"/>
    <w:rsid w:val="002B4DAF"/>
    <w:rsid w:val="00842EE1"/>
    <w:rsid w:val="00D95470"/>
    <w:rsid w:val="00EA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07751-9F75-4A73-BF7B-4FE292F4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4DAF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4DA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4DA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4D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B4DA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B4DA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B4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Nebílovy</dc:creator>
  <cp:keywords/>
  <dc:description/>
  <cp:lastModifiedBy>Obec Nebílovy</cp:lastModifiedBy>
  <cp:revision>1</cp:revision>
  <dcterms:created xsi:type="dcterms:W3CDTF">2024-07-17T17:10:00Z</dcterms:created>
  <dcterms:modified xsi:type="dcterms:W3CDTF">2024-07-17T17:38:00Z</dcterms:modified>
</cp:coreProperties>
</file>