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EA5D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Město Přelouč</w:t>
      </w:r>
    </w:p>
    <w:p w14:paraId="27C2E301" w14:textId="77777777" w:rsidR="00C0728B" w:rsidRDefault="00C0728B" w:rsidP="00C0728B">
      <w:pPr>
        <w:spacing w:before="40" w:after="60" w:line="240" w:lineRule="atLeast"/>
        <w:rPr>
          <w:rFonts w:ascii="Arial" w:hAnsi="Arial" w:cs="Arial"/>
          <w:b/>
        </w:rPr>
      </w:pPr>
    </w:p>
    <w:p w14:paraId="7A8B6272" w14:textId="72C42106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Nařízení </w:t>
      </w:r>
      <w:r w:rsidR="00ED4B25">
        <w:rPr>
          <w:rFonts w:ascii="Arial" w:hAnsi="Arial" w:cs="Arial"/>
          <w:b/>
        </w:rPr>
        <w:t>města Přelouče</w:t>
      </w:r>
    </w:p>
    <w:p w14:paraId="504C9B63" w14:textId="77777777" w:rsidR="00C0728B" w:rsidRDefault="00C0728B" w:rsidP="00C0728B">
      <w:pPr>
        <w:spacing w:before="40" w:after="60" w:line="240" w:lineRule="atLeast"/>
        <w:rPr>
          <w:rFonts w:ascii="Arial" w:hAnsi="Arial" w:cs="Arial"/>
          <w:b/>
        </w:rPr>
      </w:pPr>
    </w:p>
    <w:p w14:paraId="25F1F511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vyhlášení záměru zadat zpracování lesních hospodářských osnov</w:t>
      </w:r>
    </w:p>
    <w:p w14:paraId="4E534752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6BE3ECD4" w14:textId="167E6239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města Přelouče vydala dne 22.04.2024 v souladu s ustanovením § 11 odst. 1 a 2 a § 102 odst. 2 písm. d) zákona č. 128/2000 Sb., o obcích, ve znění pozdějších předpisů, a ustanovením § 25 odst. 2 zákona č. 289/1995 Sb., o lesích a o změně a doplnění některých zákonů, ve znění pozdějších předpisů (dále též </w:t>
      </w:r>
      <w:r w:rsidR="00ED4B25">
        <w:rPr>
          <w:rFonts w:ascii="Arial" w:hAnsi="Arial" w:cs="Arial"/>
        </w:rPr>
        <w:t>„</w:t>
      </w:r>
      <w:r>
        <w:rPr>
          <w:rFonts w:ascii="Arial" w:hAnsi="Arial" w:cs="Arial"/>
        </w:rPr>
        <w:t>lesní zákon</w:t>
      </w:r>
      <w:r w:rsidR="00ED4B25">
        <w:rPr>
          <w:rFonts w:ascii="Arial" w:hAnsi="Arial" w:cs="Arial"/>
        </w:rPr>
        <w:t>“</w:t>
      </w:r>
      <w:r>
        <w:rPr>
          <w:rFonts w:ascii="Arial" w:hAnsi="Arial" w:cs="Arial"/>
        </w:rPr>
        <w:t>), toto nařízení města Přelouče:</w:t>
      </w:r>
    </w:p>
    <w:p w14:paraId="22016B44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2B7CD90F" w14:textId="77777777" w:rsidR="00C0728B" w:rsidRDefault="00C0728B" w:rsidP="00C0728B">
      <w:pPr>
        <w:spacing w:before="40" w:after="60" w:line="240" w:lineRule="atLeast"/>
        <w:rPr>
          <w:rFonts w:ascii="Arial" w:hAnsi="Arial" w:cs="Arial"/>
          <w:b/>
        </w:rPr>
      </w:pPr>
    </w:p>
    <w:p w14:paraId="6F9FE79E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</w:t>
      </w:r>
    </w:p>
    <w:p w14:paraId="64858A10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úpravy</w:t>
      </w:r>
    </w:p>
    <w:p w14:paraId="720E76C7" w14:textId="77777777" w:rsidR="00C0728B" w:rsidRDefault="00C0728B" w:rsidP="00C0728B">
      <w:pPr>
        <w:spacing w:before="40" w:after="60" w:line="240" w:lineRule="atLeast"/>
        <w:rPr>
          <w:rFonts w:ascii="Arial" w:hAnsi="Arial" w:cs="Arial"/>
          <w:b/>
        </w:rPr>
      </w:pPr>
    </w:p>
    <w:p w14:paraId="2FEFB0DF" w14:textId="77777777" w:rsidR="00C0728B" w:rsidRDefault="00C0728B" w:rsidP="00C0728B">
      <w:pPr>
        <w:numPr>
          <w:ilvl w:val="0"/>
          <w:numId w:val="10"/>
        </w:numPr>
        <w:spacing w:before="40" w:after="6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Pro zjištění stavu lesa a pro výkon státní správy lesů se pro všechny lesy nacházející se v katastrálních územích, jež jsou vymezena v článku č. 3 tohoto nařízení, o výměře menší než 50 ha ve vlastnictví fyzických a právnických osob, pokud pro ně není zpracován lesní hospodářský plán (dále též LHP), zpracovávají v souladu s ustanovením § 25 odst. 1 lesního zákona lesní hospodářské osnovy (dále též LHO). Náklady na jejich zpracování hradí podle § 26 odst. 2 lesního zákona stát.</w:t>
      </w:r>
    </w:p>
    <w:p w14:paraId="1961292A" w14:textId="77777777" w:rsidR="00C0728B" w:rsidRDefault="00C0728B" w:rsidP="00C0728B">
      <w:pPr>
        <w:numPr>
          <w:ilvl w:val="0"/>
          <w:numId w:val="10"/>
        </w:numPr>
        <w:spacing w:before="40" w:after="6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31.12.2025 končí platnost LHO Přelouč – sever, kód LHO 505821. Nové LHO budou zpracovány pro katastrální území uvedená v článku č. 3 tohoto nařízení. Pro vlastníky lesa, tj. jak fyzické, tak i právnické osoby vlastnící les do výměry 50 ha v daných katastrálních územích, pokud nemají zpracovaný LHP, viz článek č. 1 odst. 1 (dále též vlastníci lesa), zadává Městský úřad Přelouč zpracování LHO s platností od </w:t>
      </w:r>
      <w:r>
        <w:rPr>
          <w:rFonts w:ascii="Arial" w:hAnsi="Arial" w:cs="Arial"/>
          <w:b/>
          <w:bCs/>
        </w:rPr>
        <w:t>01.01.2026</w:t>
      </w:r>
      <w:r>
        <w:rPr>
          <w:rFonts w:ascii="Arial" w:hAnsi="Arial" w:cs="Arial"/>
        </w:rPr>
        <w:t xml:space="preserve"> do </w:t>
      </w:r>
      <w:r>
        <w:rPr>
          <w:rFonts w:ascii="Arial" w:hAnsi="Arial" w:cs="Arial"/>
          <w:b/>
          <w:bCs/>
        </w:rPr>
        <w:t>31.12.2035</w:t>
      </w:r>
      <w:r>
        <w:rPr>
          <w:rFonts w:ascii="Arial" w:hAnsi="Arial" w:cs="Arial"/>
        </w:rPr>
        <w:t>, tj. na období deseti let.</w:t>
      </w:r>
    </w:p>
    <w:p w14:paraId="3F74F50B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04E97719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14:paraId="0B8AB43B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Termíny</w:t>
      </w:r>
    </w:p>
    <w:p w14:paraId="6330ED1C" w14:textId="77777777" w:rsidR="00C0728B" w:rsidRDefault="00C0728B" w:rsidP="00C0728B">
      <w:pPr>
        <w:spacing w:before="40" w:after="60" w:line="240" w:lineRule="atLeast"/>
        <w:rPr>
          <w:rFonts w:ascii="Arial" w:hAnsi="Arial" w:cs="Arial"/>
          <w:b/>
        </w:rPr>
      </w:pPr>
    </w:p>
    <w:p w14:paraId="6705356B" w14:textId="77777777" w:rsidR="00C0728B" w:rsidRDefault="00C0728B" w:rsidP="00C0728B">
      <w:pPr>
        <w:numPr>
          <w:ilvl w:val="0"/>
          <w:numId w:val="11"/>
        </w:numPr>
        <w:spacing w:before="40" w:after="6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Vlastníci lesa mají právo v termínu </w:t>
      </w:r>
      <w:r>
        <w:rPr>
          <w:rFonts w:ascii="Arial" w:hAnsi="Arial" w:cs="Arial"/>
          <w:b/>
        </w:rPr>
        <w:t xml:space="preserve">do 30.10.2024 </w:t>
      </w:r>
      <w:r>
        <w:rPr>
          <w:rFonts w:ascii="Arial" w:hAnsi="Arial" w:cs="Arial"/>
        </w:rPr>
        <w:t>oznámit Městskému úřadu Přelouč, odboru životního prostředí, orgánu státní správy lesů, Československé armády 1665, 535 33 Přelouč, své hospodářské záměry a požadavky na zpracování LHO.</w:t>
      </w:r>
    </w:p>
    <w:p w14:paraId="4DDF3970" w14:textId="77777777" w:rsidR="00C0728B" w:rsidRDefault="00C0728B" w:rsidP="00C0728B">
      <w:pPr>
        <w:numPr>
          <w:ilvl w:val="0"/>
          <w:numId w:val="11"/>
        </w:numPr>
        <w:spacing w:before="40" w:after="6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</w:t>
      </w:r>
      <w:r>
        <w:rPr>
          <w:rFonts w:ascii="Arial" w:hAnsi="Arial" w:cs="Arial"/>
          <w:b/>
        </w:rPr>
        <w:t xml:space="preserve">do 30.10.2024 </w:t>
      </w:r>
      <w:r>
        <w:rPr>
          <w:rFonts w:ascii="Arial" w:hAnsi="Arial" w:cs="Arial"/>
        </w:rPr>
        <w:t>oznámí vlastníci lesů případně též skutečnost, že pro své lesy zadali zpracování LHP.</w:t>
      </w:r>
    </w:p>
    <w:p w14:paraId="07AB694A" w14:textId="77777777" w:rsidR="00C0728B" w:rsidRDefault="00C0728B" w:rsidP="00C0728B">
      <w:pPr>
        <w:numPr>
          <w:ilvl w:val="0"/>
          <w:numId w:val="11"/>
        </w:numPr>
        <w:spacing w:before="40" w:after="6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Oznámení lze učinit formou podání podle ustanovení § 37 odst. 4 zákona č. 500/2004 Sb., správního řádu, ve znění pozdějších předpisů, tj. datovou schránkou, písemně nebo ústně do protokolu anebo v elektronické podobě formou e-mailu s uznávaným elektronickým podpisem. Za podmínky, že podání je do 5 dnů potvrzeno, popřípadě doplněno způsobem uvedeným ve větě první, je možno je učinit pomocí jiných technických prostředků, zejména prostřednictvím dálnopisu, telefaxu nebo veřejné datové sítě bez použití podpisu.</w:t>
      </w:r>
    </w:p>
    <w:p w14:paraId="55F2E910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62E3F8F5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14:paraId="5ED2A94A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území</w:t>
      </w:r>
    </w:p>
    <w:p w14:paraId="52B5775D" w14:textId="77777777" w:rsidR="00C0728B" w:rsidRDefault="00C0728B" w:rsidP="00C0728B">
      <w:pPr>
        <w:spacing w:before="40" w:after="60" w:line="240" w:lineRule="atLeast"/>
        <w:rPr>
          <w:rFonts w:ascii="Arial" w:hAnsi="Arial" w:cs="Arial"/>
          <w:b/>
        </w:rPr>
      </w:pPr>
    </w:p>
    <w:p w14:paraId="16B111D0" w14:textId="77777777" w:rsidR="00C0728B" w:rsidRDefault="00C0728B" w:rsidP="00C0728B">
      <w:pPr>
        <w:spacing w:before="40" w:after="60" w:line="240" w:lineRule="atLea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LHO budou zpracovány pro zařizovací obvod (dále též ZO) Přelouč – sever, tj. níže uvedená katastrální území: Bílé Vchýnice (604143), Břehy (613771), Hlavečník (638951), Kladruby nad Labem (665410), Kolesa (668079), Komárov u Přelouče (668702), Labské Chrčice (678821), Lohenice u Přelouče (686409), Přelovice (734641), Přepychy (734691), Selmice (747149), Semín (747319), Sopřeč (752452), Strašov (756318), Tetov (766968), Újezd u Přelouč (773689), Vápno u Přelouče (776955), Vyšehněvice (788473) a Žáravice (794597). </w:t>
      </w:r>
    </w:p>
    <w:p w14:paraId="2205290A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Článek 4</w:t>
      </w:r>
    </w:p>
    <w:p w14:paraId="3B041B42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Zveřejnění</w:t>
      </w:r>
    </w:p>
    <w:p w14:paraId="2796766A" w14:textId="77777777" w:rsidR="00C0728B" w:rsidRDefault="00C0728B" w:rsidP="00C0728B">
      <w:pPr>
        <w:spacing w:before="40" w:after="60" w:line="240" w:lineRule="atLeast"/>
        <w:rPr>
          <w:rFonts w:ascii="Arial" w:hAnsi="Arial" w:cs="Arial"/>
          <w:b/>
        </w:rPr>
      </w:pPr>
    </w:p>
    <w:p w14:paraId="52498644" w14:textId="77777777" w:rsidR="00C0728B" w:rsidRDefault="00C0728B" w:rsidP="00C0728B">
      <w:pPr>
        <w:spacing w:before="40" w:after="60" w:line="240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Dotčené obecní úřady obcí, jejichž katastrální území, která tvoří správní obvod obce, jsou zahrnuta v ZO Přelouč – sever, viz článek č. 3 tohoto nařízení, zveřejní nařízení na úředních deskách, a to až do </w:t>
      </w:r>
      <w:r>
        <w:rPr>
          <w:rFonts w:ascii="Arial" w:hAnsi="Arial" w:cs="Arial"/>
          <w:b/>
          <w:bCs/>
        </w:rPr>
        <w:t>30.10.2024</w:t>
      </w:r>
      <w:r>
        <w:rPr>
          <w:rFonts w:ascii="Arial" w:hAnsi="Arial" w:cs="Arial"/>
        </w:rPr>
        <w:t>, a každému umožní do něj nahlédnout.</w:t>
      </w:r>
    </w:p>
    <w:p w14:paraId="7071B857" w14:textId="77777777" w:rsidR="00140A8B" w:rsidRDefault="00140A8B" w:rsidP="00C0728B">
      <w:pPr>
        <w:spacing w:before="40" w:after="60" w:line="240" w:lineRule="atLeast"/>
        <w:ind w:left="720"/>
        <w:jc w:val="both"/>
        <w:rPr>
          <w:rFonts w:ascii="Arial" w:hAnsi="Arial" w:cs="Arial"/>
        </w:rPr>
      </w:pPr>
    </w:p>
    <w:p w14:paraId="69B0BCA9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3C42970E" w14:textId="2345E193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140A8B">
        <w:rPr>
          <w:rFonts w:ascii="Arial" w:hAnsi="Arial" w:cs="Arial"/>
          <w:b/>
        </w:rPr>
        <w:t>5</w:t>
      </w:r>
    </w:p>
    <w:p w14:paraId="61A9D0FF" w14:textId="77777777" w:rsidR="00C0728B" w:rsidRDefault="00C0728B" w:rsidP="00C0728B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AC3A978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4F492A79" w14:textId="77777777" w:rsidR="00C0728B" w:rsidRDefault="00C0728B" w:rsidP="00C0728B">
      <w:pPr>
        <w:spacing w:before="40" w:after="60" w:line="240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patnáctým dnem následujícím po jeho vyhlášení.</w:t>
      </w:r>
    </w:p>
    <w:p w14:paraId="44EF418B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29B24651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37405C94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3B2C7AB9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346CE6B2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50DB0C2F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7E6F58E3" w14:textId="77777777" w:rsidR="00C0728B" w:rsidRDefault="00C0728B" w:rsidP="00C0728B">
      <w:pPr>
        <w:tabs>
          <w:tab w:val="left" w:pos="6237"/>
        </w:tabs>
        <w:spacing w:before="40" w:after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  <w:t>……………………………………</w:t>
      </w:r>
    </w:p>
    <w:p w14:paraId="10B1F94C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Martin Šmíd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                    Ing. Ivan Moravec</w:t>
      </w:r>
    </w:p>
    <w:p w14:paraId="16B5A3C4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místostarosta</w:t>
      </w:r>
    </w:p>
    <w:p w14:paraId="515850CC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44207D99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2D7F281B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02325F44" w14:textId="77777777" w:rsidR="00C0728B" w:rsidRDefault="00C0728B" w:rsidP="00C0728B">
      <w:pPr>
        <w:spacing w:before="40" w:after="60" w:line="240" w:lineRule="atLeast"/>
        <w:rPr>
          <w:rFonts w:ascii="Arial" w:hAnsi="Arial" w:cs="Arial"/>
        </w:rPr>
      </w:pPr>
    </w:p>
    <w:p w14:paraId="617D63CE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226AC735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7568FFE9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582E8EAB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0D242E3C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400E6DCB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0496CEDB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288A4D53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5CC5319B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140CF9F4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50DDB5AB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648F4B84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68510475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0724DFDD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2CACCF38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7C965814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2EBDF512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486F8C7B" w14:textId="77777777" w:rsidR="00C0728B" w:rsidRDefault="00C0728B" w:rsidP="00C0728B">
      <w:pPr>
        <w:spacing w:before="40" w:after="60" w:line="240" w:lineRule="atLeast"/>
        <w:jc w:val="both"/>
        <w:rPr>
          <w:rFonts w:ascii="Arial" w:hAnsi="Arial" w:cs="Arial"/>
        </w:rPr>
      </w:pPr>
    </w:p>
    <w:p w14:paraId="3C7E9742" w14:textId="77777777" w:rsidR="000D064B" w:rsidRPr="00C0728B" w:rsidRDefault="000D064B" w:rsidP="00C0728B"/>
    <w:sectPr w:rsidR="000D064B" w:rsidRPr="00C0728B" w:rsidSect="004059FA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4A1"/>
    <w:multiLevelType w:val="hybridMultilevel"/>
    <w:tmpl w:val="B70E1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62EF"/>
    <w:multiLevelType w:val="hybridMultilevel"/>
    <w:tmpl w:val="5F524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05820"/>
    <w:multiLevelType w:val="hybridMultilevel"/>
    <w:tmpl w:val="E2A0C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63F47"/>
    <w:multiLevelType w:val="hybridMultilevel"/>
    <w:tmpl w:val="4FCEF13E"/>
    <w:lvl w:ilvl="0" w:tplc="9E3C0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7C7598"/>
    <w:multiLevelType w:val="hybridMultilevel"/>
    <w:tmpl w:val="49AE0E4A"/>
    <w:lvl w:ilvl="0" w:tplc="9334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85331"/>
    <w:multiLevelType w:val="hybridMultilevel"/>
    <w:tmpl w:val="A9E65966"/>
    <w:lvl w:ilvl="0" w:tplc="EACC4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C5B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2D75F9"/>
    <w:multiLevelType w:val="hybridMultilevel"/>
    <w:tmpl w:val="1174D994"/>
    <w:lvl w:ilvl="0" w:tplc="BE32F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885091">
    <w:abstractNumId w:val="6"/>
    <w:lvlOverride w:ilvl="0">
      <w:startOverride w:val="1"/>
    </w:lvlOverride>
  </w:num>
  <w:num w:numId="2" w16cid:durableId="2071230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704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4963798">
    <w:abstractNumId w:val="7"/>
  </w:num>
  <w:num w:numId="5" w16cid:durableId="1328631313">
    <w:abstractNumId w:val="5"/>
  </w:num>
  <w:num w:numId="6" w16cid:durableId="1407416583">
    <w:abstractNumId w:val="3"/>
  </w:num>
  <w:num w:numId="7" w16cid:durableId="2081052433">
    <w:abstractNumId w:val="4"/>
  </w:num>
  <w:num w:numId="8" w16cid:durableId="545607994">
    <w:abstractNumId w:val="1"/>
  </w:num>
  <w:num w:numId="9" w16cid:durableId="1093476277">
    <w:abstractNumId w:val="0"/>
  </w:num>
  <w:num w:numId="10" w16cid:durableId="1964070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314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2097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856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D27"/>
    <w:rsid w:val="00087075"/>
    <w:rsid w:val="000B46E9"/>
    <w:rsid w:val="000D064B"/>
    <w:rsid w:val="000E4AEF"/>
    <w:rsid w:val="0010269E"/>
    <w:rsid w:val="0011559E"/>
    <w:rsid w:val="001342EE"/>
    <w:rsid w:val="0014015E"/>
    <w:rsid w:val="00140A8B"/>
    <w:rsid w:val="001B2CE8"/>
    <w:rsid w:val="001B3C09"/>
    <w:rsid w:val="001B76B9"/>
    <w:rsid w:val="001E1299"/>
    <w:rsid w:val="001F189F"/>
    <w:rsid w:val="001F4CF5"/>
    <w:rsid w:val="00207F3C"/>
    <w:rsid w:val="00292D0E"/>
    <w:rsid w:val="002B55AF"/>
    <w:rsid w:val="002C5CCD"/>
    <w:rsid w:val="00342B32"/>
    <w:rsid w:val="003547B6"/>
    <w:rsid w:val="003641C2"/>
    <w:rsid w:val="00384BF7"/>
    <w:rsid w:val="003F0FA1"/>
    <w:rsid w:val="003F38FD"/>
    <w:rsid w:val="004059FA"/>
    <w:rsid w:val="0040753D"/>
    <w:rsid w:val="004837BE"/>
    <w:rsid w:val="00487B7A"/>
    <w:rsid w:val="004923FB"/>
    <w:rsid w:val="004D02E6"/>
    <w:rsid w:val="005137CE"/>
    <w:rsid w:val="005657BB"/>
    <w:rsid w:val="00594827"/>
    <w:rsid w:val="005B5D64"/>
    <w:rsid w:val="005C6B7D"/>
    <w:rsid w:val="00614CAA"/>
    <w:rsid w:val="00623AC8"/>
    <w:rsid w:val="0063773D"/>
    <w:rsid w:val="006954EA"/>
    <w:rsid w:val="006D04B8"/>
    <w:rsid w:val="006D73EB"/>
    <w:rsid w:val="007677E6"/>
    <w:rsid w:val="007B3781"/>
    <w:rsid w:val="007E56B8"/>
    <w:rsid w:val="007F6994"/>
    <w:rsid w:val="00824C7A"/>
    <w:rsid w:val="00860D89"/>
    <w:rsid w:val="008740B9"/>
    <w:rsid w:val="00884E0E"/>
    <w:rsid w:val="008D19FD"/>
    <w:rsid w:val="008D7357"/>
    <w:rsid w:val="008F7E13"/>
    <w:rsid w:val="009166AA"/>
    <w:rsid w:val="009647F0"/>
    <w:rsid w:val="00964C3E"/>
    <w:rsid w:val="00994841"/>
    <w:rsid w:val="009A3B22"/>
    <w:rsid w:val="009C0EF3"/>
    <w:rsid w:val="009D29DD"/>
    <w:rsid w:val="00A77D18"/>
    <w:rsid w:val="00AB0E4F"/>
    <w:rsid w:val="00AB3F73"/>
    <w:rsid w:val="00AC25AF"/>
    <w:rsid w:val="00AE6562"/>
    <w:rsid w:val="00B219F9"/>
    <w:rsid w:val="00B331EE"/>
    <w:rsid w:val="00B42864"/>
    <w:rsid w:val="00BA3433"/>
    <w:rsid w:val="00C0728B"/>
    <w:rsid w:val="00C109AB"/>
    <w:rsid w:val="00C13B44"/>
    <w:rsid w:val="00C265CA"/>
    <w:rsid w:val="00C82BDE"/>
    <w:rsid w:val="00CD260B"/>
    <w:rsid w:val="00CE1D74"/>
    <w:rsid w:val="00CF7328"/>
    <w:rsid w:val="00D610F9"/>
    <w:rsid w:val="00D8018A"/>
    <w:rsid w:val="00DA01DA"/>
    <w:rsid w:val="00DE2B10"/>
    <w:rsid w:val="00E12045"/>
    <w:rsid w:val="00E23799"/>
    <w:rsid w:val="00E27EC0"/>
    <w:rsid w:val="00E360AD"/>
    <w:rsid w:val="00E45F16"/>
    <w:rsid w:val="00E51FD8"/>
    <w:rsid w:val="00EA0804"/>
    <w:rsid w:val="00ED0732"/>
    <w:rsid w:val="00ED1D27"/>
    <w:rsid w:val="00ED4B25"/>
    <w:rsid w:val="00EE6467"/>
    <w:rsid w:val="00F05E49"/>
    <w:rsid w:val="00F2006F"/>
    <w:rsid w:val="00F369A3"/>
    <w:rsid w:val="00F45475"/>
    <w:rsid w:val="00FA2282"/>
    <w:rsid w:val="00FB24C8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31BC9"/>
  <w15:docId w15:val="{0B487B5C-D582-489A-AC96-4931C7A0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B10"/>
    <w:rPr>
      <w:rFonts w:eastAsia="Times New Roman"/>
    </w:rPr>
  </w:style>
  <w:style w:type="paragraph" w:styleId="Nadpis1">
    <w:name w:val="heading 1"/>
    <w:basedOn w:val="Normln"/>
    <w:next w:val="Normln"/>
    <w:qFormat/>
    <w:rsid w:val="00DE2B10"/>
    <w:pPr>
      <w:keepNext/>
      <w:outlineLvl w:val="0"/>
    </w:pPr>
    <w:rPr>
      <w:b/>
      <w:spacing w:val="40"/>
      <w:sz w:val="32"/>
      <w:u w:val="single"/>
    </w:rPr>
  </w:style>
  <w:style w:type="paragraph" w:styleId="Nadpis2">
    <w:name w:val="heading 2"/>
    <w:basedOn w:val="Normln"/>
    <w:next w:val="Normln"/>
    <w:qFormat/>
    <w:rsid w:val="007F6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DE2B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F69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23799"/>
    <w:pPr>
      <w:jc w:val="both"/>
    </w:pPr>
    <w:rPr>
      <w:i/>
      <w:sz w:val="22"/>
      <w:szCs w:val="24"/>
    </w:rPr>
  </w:style>
  <w:style w:type="paragraph" w:styleId="Zkladntextodsazen">
    <w:name w:val="Body Text Indent"/>
    <w:basedOn w:val="Normln"/>
    <w:rsid w:val="007F6994"/>
    <w:pPr>
      <w:spacing w:after="120"/>
      <w:ind w:left="28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47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5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9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pro zasedání Rady města Přelouče</vt:lpstr>
    </vt:vector>
  </TitlesOfParts>
  <Company>MěÚ Přelouč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pro zasedání Rady města Přelouče</dc:title>
  <dc:subject/>
  <dc:creator>Jana Adamová</dc:creator>
  <cp:keywords/>
  <dc:description/>
  <cp:lastModifiedBy>Veronika Dofková</cp:lastModifiedBy>
  <cp:revision>27</cp:revision>
  <cp:lastPrinted>2008-05-05T13:10:00Z</cp:lastPrinted>
  <dcterms:created xsi:type="dcterms:W3CDTF">2010-07-16T09:53:00Z</dcterms:created>
  <dcterms:modified xsi:type="dcterms:W3CDTF">2024-04-25T06:04:00Z</dcterms:modified>
</cp:coreProperties>
</file>