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45508" w14:textId="77777777" w:rsidR="00832440" w:rsidRDefault="003D715A">
      <w:pPr>
        <w:spacing w:line="312" w:lineRule="auto"/>
        <w:jc w:val="center"/>
        <w:rPr>
          <w:rFonts w:ascii="Arial" w:hAnsi="Arial" w:cs="Arial"/>
          <w:b/>
          <w:color w:val="003399"/>
          <w:spacing w:val="60"/>
          <w:sz w:val="28"/>
          <w:szCs w:val="28"/>
        </w:rPr>
      </w:pPr>
      <w:r>
        <w:rPr>
          <w:rFonts w:ascii="Arial" w:hAnsi="Arial" w:cs="Arial"/>
          <w:b/>
          <w:color w:val="003399"/>
          <w:spacing w:val="60"/>
          <w:sz w:val="28"/>
          <w:szCs w:val="28"/>
        </w:rPr>
        <w:t>OBEC HORNÍ TŘEŠŇOVEC</w:t>
      </w:r>
    </w:p>
    <w:p w14:paraId="5B9EE042" w14:textId="77777777" w:rsidR="00832440" w:rsidRDefault="00832440">
      <w:pPr>
        <w:spacing w:line="312" w:lineRule="auto"/>
        <w:jc w:val="center"/>
        <w:rPr>
          <w:rFonts w:ascii="Arial" w:hAnsi="Arial" w:cs="Arial"/>
          <w:b/>
          <w:color w:val="003399"/>
          <w:spacing w:val="60"/>
          <w:sz w:val="28"/>
          <w:szCs w:val="28"/>
        </w:rPr>
      </w:pPr>
    </w:p>
    <w:p w14:paraId="790E2156" w14:textId="77777777" w:rsidR="00832440" w:rsidRDefault="003D715A">
      <w:pPr>
        <w:spacing w:line="312" w:lineRule="auto"/>
        <w:jc w:val="center"/>
        <w:rPr>
          <w:rFonts w:ascii="Arial" w:hAnsi="Arial" w:cs="Arial"/>
          <w:b/>
          <w:lang w:val="en-US" w:eastAsia="en-US"/>
        </w:rPr>
      </w:pPr>
      <w:r>
        <w:rPr>
          <w:rFonts w:ascii="Arial" w:hAnsi="Arial" w:cs="Arial"/>
          <w:b/>
          <w:noProof/>
          <w:lang w:val="en-US" w:eastAsia="en-US"/>
        </w:rPr>
        <w:drawing>
          <wp:anchor distT="0" distB="0" distL="114935" distR="114935" simplePos="0" relativeHeight="4" behindDoc="0" locked="0" layoutInCell="0" allowOverlap="1" wp14:anchorId="652D0D8B" wp14:editId="0C6D8443">
            <wp:simplePos x="0" y="0"/>
            <wp:positionH relativeFrom="column">
              <wp:posOffset>2548255</wp:posOffset>
            </wp:positionH>
            <wp:positionV relativeFrom="paragraph">
              <wp:posOffset>635</wp:posOffset>
            </wp:positionV>
            <wp:extent cx="647700" cy="733425"/>
            <wp:effectExtent l="0" t="0" r="0" b="0"/>
            <wp:wrapSquare wrapText="bothSides"/>
            <wp:docPr id="1"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4"/>
                    <pic:cNvPicPr>
                      <a:picLocks noChangeAspect="1" noChangeArrowheads="1"/>
                    </pic:cNvPicPr>
                  </pic:nvPicPr>
                  <pic:blipFill>
                    <a:blip r:embed="rId7"/>
                    <a:srcRect l="-11" t="-9" r="-11" b="-9"/>
                    <a:stretch>
                      <a:fillRect/>
                    </a:stretch>
                  </pic:blipFill>
                  <pic:spPr bwMode="auto">
                    <a:xfrm>
                      <a:off x="0" y="0"/>
                      <a:ext cx="647700" cy="733425"/>
                    </a:xfrm>
                    <a:prstGeom prst="rect">
                      <a:avLst/>
                    </a:prstGeom>
                  </pic:spPr>
                </pic:pic>
              </a:graphicData>
            </a:graphic>
          </wp:anchor>
        </w:drawing>
      </w:r>
    </w:p>
    <w:p w14:paraId="2E21C685" w14:textId="77777777" w:rsidR="00832440" w:rsidRDefault="003D715A">
      <w:pPr>
        <w:spacing w:line="312" w:lineRule="auto"/>
        <w:jc w:val="center"/>
        <w:rPr>
          <w:lang w:val="en-US" w:eastAsia="en-US"/>
        </w:rPr>
      </w:pPr>
      <w:r>
        <w:rPr>
          <w:noProof/>
          <w:lang w:val="en-US" w:eastAsia="en-US"/>
        </w:rPr>
        <mc:AlternateContent>
          <mc:Choice Requires="wps">
            <w:drawing>
              <wp:anchor distT="12700" distB="12700" distL="127635" distR="127635" simplePos="0" relativeHeight="2" behindDoc="0" locked="0" layoutInCell="0" allowOverlap="1" wp14:anchorId="6077ADFE" wp14:editId="6A5AD731">
                <wp:simplePos x="0" y="0"/>
                <wp:positionH relativeFrom="column">
                  <wp:posOffset>-42545</wp:posOffset>
                </wp:positionH>
                <wp:positionV relativeFrom="paragraph">
                  <wp:posOffset>635</wp:posOffset>
                </wp:positionV>
                <wp:extent cx="5829935" cy="1270"/>
                <wp:effectExtent l="0" t="0" r="0" b="0"/>
                <wp:wrapNone/>
                <wp:docPr id="2" name="Přímá spojnice se šipkou 2"/>
                <wp:cNvGraphicFramePr/>
                <a:graphic xmlns:a="http://schemas.openxmlformats.org/drawingml/2006/main">
                  <a:graphicData uri="http://schemas.microsoft.com/office/word/2010/wordprocessingShape">
                    <wps:wsp>
                      <wps:cNvCnPr/>
                      <wps:spPr>
                        <a:xfrm>
                          <a:off x="0" y="0"/>
                          <a:ext cx="360" cy="360"/>
                        </a:xfrm>
                        <a:prstGeom prst="straightConnector1">
                          <a:avLst/>
                        </a:prstGeom>
                        <a:ln w="25560">
                          <a:solidFill>
                            <a:srgbClr val="00008E"/>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3.35pt;margin-top:0pt;width:0pt;height:0pt" type="_x0000_t32">
                <v:stroke color="#00008e" weight="25560" joinstyle="miter" endcap="flat"/>
                <v:fill o:detectmouseclick="t" on="false"/>
                <w10:wrap type="none"/>
              </v:shape>
            </w:pict>
          </mc:Fallback>
        </mc:AlternateContent>
      </w:r>
      <w:r>
        <w:rPr>
          <w:noProof/>
          <w:lang w:val="en-US" w:eastAsia="en-US"/>
        </w:rPr>
        <mc:AlternateContent>
          <mc:Choice Requires="wps">
            <w:drawing>
              <wp:anchor distT="12700" distB="12700" distL="127635" distR="127635" simplePos="0" relativeHeight="3" behindDoc="0" locked="0" layoutInCell="0" allowOverlap="1" wp14:anchorId="39FE5E8C" wp14:editId="6E7E0257">
                <wp:simplePos x="0" y="0"/>
                <wp:positionH relativeFrom="column">
                  <wp:posOffset>-42545</wp:posOffset>
                </wp:positionH>
                <wp:positionV relativeFrom="paragraph">
                  <wp:posOffset>47625</wp:posOffset>
                </wp:positionV>
                <wp:extent cx="5829935" cy="1270"/>
                <wp:effectExtent l="0" t="0" r="0" b="0"/>
                <wp:wrapNone/>
                <wp:docPr id="3" name="Přímá spojnice se šipkou 3"/>
                <wp:cNvGraphicFramePr/>
                <a:graphic xmlns:a="http://schemas.openxmlformats.org/drawingml/2006/main">
                  <a:graphicData uri="http://schemas.microsoft.com/office/word/2010/wordprocessingShape">
                    <wps:wsp>
                      <wps:cNvCnPr/>
                      <wps:spPr>
                        <a:xfrm>
                          <a:off x="0" y="0"/>
                          <a:ext cx="360" cy="360"/>
                        </a:xfrm>
                        <a:prstGeom prst="straightConnector1">
                          <a:avLst/>
                        </a:prstGeom>
                        <a:ln w="25560">
                          <a:solidFill>
                            <a:srgbClr val="FCF600"/>
                          </a:solidFill>
                          <a:miter/>
                        </a:ln>
                      </wps:spPr>
                      <wps:bodyPr/>
                    </wps:wsp>
                  </a:graphicData>
                </a:graphic>
              </wp:anchor>
            </w:drawing>
          </mc:Choice>
          <mc:Fallback>
            <w:pict>
              <v:shape id="shape_0" stroked="t" o:allowincell="f" style="position:absolute;margin-left:-3.35pt;margin-top:3.75pt;width:0pt;height:0pt" type="_x0000_t32">
                <v:stroke color="#fcf600" weight="25560" joinstyle="miter" endcap="flat"/>
                <v:fill o:detectmouseclick="t" on="false"/>
                <w10:wrap type="none"/>
              </v:shape>
            </w:pict>
          </mc:Fallback>
        </mc:AlternateContent>
      </w:r>
    </w:p>
    <w:p w14:paraId="60C9B3E8" w14:textId="77777777" w:rsidR="00832440" w:rsidRDefault="00832440">
      <w:pPr>
        <w:spacing w:line="312" w:lineRule="auto"/>
        <w:jc w:val="center"/>
      </w:pPr>
    </w:p>
    <w:p w14:paraId="3507B215" w14:textId="77777777" w:rsidR="00832440" w:rsidRDefault="00832440">
      <w:pPr>
        <w:jc w:val="center"/>
        <w:rPr>
          <w:rFonts w:ascii="Arial" w:hAnsi="Arial" w:cs="Arial"/>
          <w:b/>
          <w:bCs/>
          <w:sz w:val="30"/>
          <w:szCs w:val="30"/>
        </w:rPr>
      </w:pPr>
    </w:p>
    <w:p w14:paraId="0347B190" w14:textId="77777777" w:rsidR="00832440" w:rsidRDefault="00832440">
      <w:pPr>
        <w:pStyle w:val="Zhlav"/>
        <w:tabs>
          <w:tab w:val="clear" w:pos="4536"/>
          <w:tab w:val="clear" w:pos="9072"/>
        </w:tabs>
        <w:rPr>
          <w:rFonts w:ascii="Arial" w:hAnsi="Arial" w:cs="Arial"/>
          <w:b/>
          <w:bCs/>
          <w:sz w:val="22"/>
          <w:szCs w:val="22"/>
        </w:rPr>
      </w:pPr>
    </w:p>
    <w:p w14:paraId="7073A44C" w14:textId="77777777" w:rsidR="00832440" w:rsidRDefault="003D715A">
      <w:pPr>
        <w:spacing w:line="276" w:lineRule="auto"/>
        <w:jc w:val="center"/>
        <w:rPr>
          <w:rFonts w:ascii="Arial" w:hAnsi="Arial" w:cs="Arial"/>
          <w:b/>
        </w:rPr>
      </w:pPr>
      <w:r>
        <w:rPr>
          <w:rFonts w:ascii="Arial" w:hAnsi="Arial" w:cs="Arial"/>
          <w:b/>
        </w:rPr>
        <w:t>OBEC HORNÍ TŘEŠŇOVEC</w:t>
      </w:r>
    </w:p>
    <w:p w14:paraId="1F72E04A" w14:textId="77777777" w:rsidR="00832440" w:rsidRDefault="003D715A">
      <w:pPr>
        <w:spacing w:line="276" w:lineRule="auto"/>
        <w:jc w:val="center"/>
        <w:rPr>
          <w:rFonts w:ascii="Arial" w:hAnsi="Arial" w:cs="Arial"/>
          <w:b/>
        </w:rPr>
      </w:pPr>
      <w:r>
        <w:rPr>
          <w:rFonts w:ascii="Arial" w:hAnsi="Arial" w:cs="Arial"/>
          <w:b/>
        </w:rPr>
        <w:t>Zastupitelstvo obce Horní Třešňovec</w:t>
      </w:r>
    </w:p>
    <w:p w14:paraId="151337D9" w14:textId="77777777" w:rsidR="00832440" w:rsidRDefault="003D715A">
      <w:pPr>
        <w:spacing w:line="276" w:lineRule="auto"/>
        <w:jc w:val="center"/>
        <w:rPr>
          <w:rFonts w:ascii="Arial" w:hAnsi="Arial" w:cs="Arial"/>
          <w:b/>
        </w:rPr>
      </w:pPr>
      <w:r>
        <w:rPr>
          <w:rFonts w:ascii="Arial" w:hAnsi="Arial" w:cs="Arial"/>
          <w:b/>
        </w:rPr>
        <w:t>Obecně závazná vyhláška obce Horní Třešňovec</w:t>
      </w:r>
    </w:p>
    <w:p w14:paraId="1D5245D1" w14:textId="77777777" w:rsidR="00832440" w:rsidRDefault="00832440">
      <w:pPr>
        <w:pStyle w:val="NormlnIMP"/>
        <w:spacing w:line="240" w:lineRule="auto"/>
        <w:jc w:val="center"/>
        <w:rPr>
          <w:rFonts w:ascii="Arial" w:hAnsi="Arial" w:cs="Arial"/>
          <w:b/>
          <w:sz w:val="22"/>
          <w:szCs w:val="22"/>
        </w:rPr>
      </w:pPr>
    </w:p>
    <w:p w14:paraId="784D2F6D" w14:textId="77777777" w:rsidR="00832440" w:rsidRDefault="003D715A">
      <w:pPr>
        <w:pStyle w:val="NormlnIMP"/>
        <w:spacing w:line="240" w:lineRule="auto"/>
        <w:jc w:val="center"/>
      </w:pPr>
      <w:r>
        <w:rPr>
          <w:rFonts w:ascii="Arial" w:hAnsi="Arial" w:cs="Arial"/>
          <w:b/>
          <w:sz w:val="22"/>
          <w:szCs w:val="22"/>
        </w:rPr>
        <w:t xml:space="preserve">o stanovení obecního systému odpadového hospodářství </w:t>
      </w:r>
    </w:p>
    <w:p w14:paraId="442153E5" w14:textId="77777777" w:rsidR="00832440" w:rsidRDefault="00832440">
      <w:pPr>
        <w:jc w:val="both"/>
        <w:rPr>
          <w:rFonts w:ascii="Arial" w:hAnsi="Arial" w:cs="Arial"/>
          <w:b/>
          <w:sz w:val="22"/>
          <w:szCs w:val="22"/>
        </w:rPr>
      </w:pPr>
    </w:p>
    <w:p w14:paraId="4D9C563A" w14:textId="77777777" w:rsidR="00832440" w:rsidRDefault="003D715A">
      <w:pPr>
        <w:pStyle w:val="Zkladntextodsazen2"/>
        <w:ind w:left="0" w:firstLine="0"/>
      </w:pPr>
      <w:r>
        <w:rPr>
          <w:rFonts w:ascii="Arial" w:hAnsi="Arial" w:cs="Arial"/>
          <w:sz w:val="22"/>
          <w:szCs w:val="22"/>
        </w:rPr>
        <w:t xml:space="preserve">Zastupitelstvo obce Horní Třešňovec se na svém zasedání dne 6. </w:t>
      </w:r>
      <w:r>
        <w:rPr>
          <w:rFonts w:ascii="Arial" w:hAnsi="Arial" w:cs="Arial"/>
          <w:sz w:val="22"/>
          <w:szCs w:val="22"/>
        </w:rPr>
        <w:t>11. 2024 usnesením č. 38/2024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01A4C757" w14:textId="77777777" w:rsidR="00832440" w:rsidRDefault="00832440">
      <w:pPr>
        <w:jc w:val="center"/>
        <w:rPr>
          <w:rFonts w:ascii="Arial" w:hAnsi="Arial" w:cs="Arial"/>
          <w:b/>
          <w:sz w:val="22"/>
          <w:szCs w:val="22"/>
        </w:rPr>
      </w:pPr>
    </w:p>
    <w:p w14:paraId="29800709" w14:textId="77777777" w:rsidR="00832440" w:rsidRDefault="003D715A">
      <w:pPr>
        <w:jc w:val="center"/>
        <w:rPr>
          <w:rFonts w:ascii="Arial" w:hAnsi="Arial" w:cs="Arial"/>
          <w:b/>
          <w:sz w:val="22"/>
          <w:szCs w:val="22"/>
        </w:rPr>
      </w:pPr>
      <w:r>
        <w:rPr>
          <w:rFonts w:ascii="Arial" w:hAnsi="Arial" w:cs="Arial"/>
          <w:b/>
          <w:sz w:val="22"/>
          <w:szCs w:val="22"/>
        </w:rPr>
        <w:t>Čl. 1</w:t>
      </w:r>
    </w:p>
    <w:p w14:paraId="2F9AA11D" w14:textId="77777777" w:rsidR="00832440" w:rsidRDefault="003D715A">
      <w:pPr>
        <w:pStyle w:val="Nadpis2"/>
        <w:jc w:val="center"/>
        <w:rPr>
          <w:rFonts w:ascii="Arial" w:hAnsi="Arial" w:cs="Arial"/>
          <w:b/>
          <w:bCs/>
          <w:sz w:val="22"/>
          <w:szCs w:val="22"/>
          <w:u w:val="none"/>
        </w:rPr>
      </w:pPr>
      <w:r>
        <w:rPr>
          <w:rFonts w:ascii="Arial" w:hAnsi="Arial" w:cs="Arial"/>
          <w:b/>
          <w:bCs/>
          <w:sz w:val="22"/>
          <w:szCs w:val="22"/>
          <w:u w:val="none"/>
        </w:rPr>
        <w:t>Úvodní ustanovení</w:t>
      </w:r>
    </w:p>
    <w:p w14:paraId="5A23A765" w14:textId="77777777" w:rsidR="00832440" w:rsidRDefault="00832440">
      <w:pPr>
        <w:tabs>
          <w:tab w:val="left" w:pos="567"/>
        </w:tabs>
        <w:jc w:val="both"/>
        <w:rPr>
          <w:rFonts w:ascii="Arial" w:hAnsi="Arial" w:cs="Arial"/>
          <w:b/>
          <w:bCs/>
          <w:sz w:val="22"/>
          <w:szCs w:val="22"/>
        </w:rPr>
      </w:pPr>
    </w:p>
    <w:p w14:paraId="24D9A552" w14:textId="77777777" w:rsidR="00832440" w:rsidRDefault="003D715A">
      <w:pPr>
        <w:numPr>
          <w:ilvl w:val="0"/>
          <w:numId w:val="7"/>
        </w:numPr>
        <w:ind w:left="0" w:hanging="426"/>
        <w:jc w:val="both"/>
        <w:rPr>
          <w:rFonts w:ascii="Arial" w:hAnsi="Arial" w:cs="Arial"/>
          <w:sz w:val="22"/>
          <w:szCs w:val="22"/>
        </w:rPr>
      </w:pPr>
      <w:r>
        <w:rPr>
          <w:rFonts w:ascii="Arial" w:hAnsi="Arial" w:cs="Arial"/>
          <w:sz w:val="22"/>
          <w:szCs w:val="22"/>
        </w:rPr>
        <w:t xml:space="preserve">Tato vyhláška stanovuje obecní systém odpadového hospodářství na území obce Horní Třešňovec. </w:t>
      </w:r>
    </w:p>
    <w:p w14:paraId="4CA811DB" w14:textId="77777777" w:rsidR="00832440" w:rsidRDefault="00832440">
      <w:pPr>
        <w:ind w:hanging="426"/>
        <w:jc w:val="both"/>
        <w:rPr>
          <w:rFonts w:ascii="Arial" w:hAnsi="Arial" w:cs="Arial"/>
          <w:sz w:val="22"/>
          <w:szCs w:val="22"/>
        </w:rPr>
      </w:pPr>
    </w:p>
    <w:p w14:paraId="66C1DAF1" w14:textId="77777777" w:rsidR="00832440" w:rsidRDefault="003D715A">
      <w:pPr>
        <w:numPr>
          <w:ilvl w:val="0"/>
          <w:numId w:val="7"/>
        </w:numPr>
        <w:tabs>
          <w:tab w:val="left" w:pos="-142"/>
        </w:tabs>
        <w:autoSpaceDE w:val="0"/>
        <w:ind w:left="0" w:hanging="426"/>
        <w:jc w:val="both"/>
      </w:pPr>
      <w:r>
        <w:rPr>
          <w:rFonts w:ascii="Arial" w:eastAsia="Arial" w:hAnsi="Arial" w:cs="Arial"/>
          <w:sz w:val="22"/>
          <w:szCs w:val="22"/>
        </w:rPr>
        <w:t xml:space="preserve">  </w:t>
      </w:r>
      <w:r>
        <w:rPr>
          <w:rFonts w:ascii="Arial" w:hAnsi="Arial" w:cs="Arial"/>
          <w:sz w:val="22"/>
          <w:szCs w:val="22"/>
        </w:rPr>
        <w:t xml:space="preserve">Každý je povinen odpad nebo movitou věc, které předává do obecního systému, odkládat na místa určená obcí v souladu s povinnostmi stanovenými pro daný </w:t>
      </w:r>
      <w:r>
        <w:rPr>
          <w:rFonts w:ascii="Arial" w:hAnsi="Arial" w:cs="Arial"/>
          <w:sz w:val="22"/>
          <w:szCs w:val="22"/>
        </w:rPr>
        <w:t>druh, kategorii nebo materiál odpadu nebo movitých věcí zákonem o odpadech a touto vyhláškou</w:t>
      </w:r>
      <w:r>
        <w:rPr>
          <w:rStyle w:val="FootnoteAnchor"/>
          <w:rFonts w:ascii="Arial" w:hAnsi="Arial" w:cs="Arial"/>
          <w:sz w:val="22"/>
          <w:szCs w:val="22"/>
        </w:rPr>
        <w:footnoteReference w:id="1"/>
      </w:r>
      <w:r>
        <w:rPr>
          <w:rFonts w:ascii="Arial" w:hAnsi="Arial" w:cs="Arial"/>
          <w:sz w:val="22"/>
          <w:szCs w:val="22"/>
        </w:rPr>
        <w:t>.</w:t>
      </w:r>
    </w:p>
    <w:p w14:paraId="35F94E55" w14:textId="77777777" w:rsidR="00832440" w:rsidRDefault="00832440">
      <w:pPr>
        <w:tabs>
          <w:tab w:val="left" w:pos="567"/>
        </w:tabs>
        <w:autoSpaceDE w:val="0"/>
        <w:ind w:hanging="426"/>
        <w:jc w:val="both"/>
        <w:rPr>
          <w:rFonts w:ascii="Arial" w:hAnsi="Arial" w:cs="Arial"/>
          <w:sz w:val="22"/>
          <w:szCs w:val="22"/>
        </w:rPr>
      </w:pPr>
    </w:p>
    <w:p w14:paraId="383ED33E" w14:textId="77777777" w:rsidR="00832440" w:rsidRDefault="003D715A">
      <w:pPr>
        <w:numPr>
          <w:ilvl w:val="0"/>
          <w:numId w:val="7"/>
        </w:numPr>
        <w:tabs>
          <w:tab w:val="left" w:pos="-142"/>
        </w:tabs>
        <w:autoSpaceDE w:val="0"/>
        <w:ind w:left="0" w:hanging="426"/>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 xml:space="preserve">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FootnoteAnchor"/>
          <w:rFonts w:ascii="Arial" w:hAnsi="Arial" w:cs="Arial"/>
          <w:sz w:val="22"/>
          <w:szCs w:val="22"/>
        </w:rPr>
        <w:footnoteReference w:id="2"/>
      </w:r>
      <w:r>
        <w:rPr>
          <w:rFonts w:ascii="Arial" w:hAnsi="Arial" w:cs="Arial"/>
          <w:sz w:val="22"/>
          <w:szCs w:val="22"/>
        </w:rPr>
        <w:t xml:space="preserve">. </w:t>
      </w:r>
    </w:p>
    <w:p w14:paraId="5D3ACC7C" w14:textId="77777777" w:rsidR="00832440" w:rsidRDefault="00832440">
      <w:pPr>
        <w:tabs>
          <w:tab w:val="left" w:pos="-142"/>
        </w:tabs>
        <w:autoSpaceDE w:val="0"/>
        <w:ind w:hanging="426"/>
        <w:jc w:val="both"/>
        <w:rPr>
          <w:rFonts w:ascii="Arial" w:hAnsi="Arial" w:cs="Arial"/>
          <w:sz w:val="22"/>
          <w:szCs w:val="22"/>
        </w:rPr>
      </w:pPr>
    </w:p>
    <w:p w14:paraId="33C39E85" w14:textId="77777777" w:rsidR="00832440" w:rsidRDefault="003D715A">
      <w:pPr>
        <w:numPr>
          <w:ilvl w:val="0"/>
          <w:numId w:val="7"/>
        </w:numPr>
        <w:tabs>
          <w:tab w:val="left" w:pos="-142"/>
        </w:tabs>
        <w:autoSpaceDE w:val="0"/>
        <w:ind w:left="0" w:hanging="426"/>
        <w:jc w:val="both"/>
      </w:pPr>
      <w:r>
        <w:rPr>
          <w:rFonts w:ascii="Arial" w:eastAsia="Arial" w:hAnsi="Arial" w:cs="Arial"/>
          <w:sz w:val="22"/>
          <w:szCs w:val="22"/>
        </w:rPr>
        <w:t xml:space="preserve">  </w:t>
      </w:r>
      <w:r>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72A51640" w14:textId="77777777" w:rsidR="00832440" w:rsidRDefault="00832440">
      <w:pPr>
        <w:tabs>
          <w:tab w:val="left" w:pos="-142"/>
        </w:tabs>
        <w:autoSpaceDE w:val="0"/>
        <w:ind w:hanging="284"/>
        <w:jc w:val="both"/>
        <w:rPr>
          <w:rFonts w:ascii="Arial" w:hAnsi="Arial" w:cs="Arial"/>
          <w:sz w:val="22"/>
          <w:szCs w:val="22"/>
        </w:rPr>
      </w:pPr>
    </w:p>
    <w:p w14:paraId="42538F75" w14:textId="77777777" w:rsidR="00832440" w:rsidRDefault="00832440">
      <w:pPr>
        <w:ind w:hanging="284"/>
        <w:jc w:val="center"/>
        <w:rPr>
          <w:rFonts w:ascii="Arial" w:hAnsi="Arial" w:cs="Arial"/>
          <w:b/>
          <w:sz w:val="22"/>
          <w:szCs w:val="22"/>
        </w:rPr>
      </w:pPr>
    </w:p>
    <w:p w14:paraId="1AB35F3C" w14:textId="77777777" w:rsidR="00832440" w:rsidRDefault="003D715A">
      <w:pPr>
        <w:jc w:val="center"/>
        <w:rPr>
          <w:rFonts w:ascii="Arial" w:hAnsi="Arial" w:cs="Arial"/>
          <w:b/>
          <w:sz w:val="22"/>
          <w:szCs w:val="22"/>
        </w:rPr>
      </w:pPr>
      <w:r>
        <w:rPr>
          <w:rFonts w:ascii="Arial" w:hAnsi="Arial" w:cs="Arial"/>
          <w:b/>
          <w:sz w:val="22"/>
          <w:szCs w:val="22"/>
        </w:rPr>
        <w:t>Čl. 2</w:t>
      </w:r>
    </w:p>
    <w:p w14:paraId="6E595191" w14:textId="77777777" w:rsidR="00832440" w:rsidRDefault="003D715A">
      <w:pPr>
        <w:jc w:val="center"/>
        <w:rPr>
          <w:rFonts w:ascii="Arial" w:hAnsi="Arial" w:cs="Arial"/>
          <w:sz w:val="22"/>
          <w:szCs w:val="22"/>
        </w:rPr>
      </w:pPr>
      <w:r>
        <w:rPr>
          <w:rFonts w:ascii="Arial" w:hAnsi="Arial" w:cs="Arial"/>
          <w:b/>
          <w:sz w:val="22"/>
          <w:szCs w:val="22"/>
        </w:rPr>
        <w:t xml:space="preserve">Oddělené soustřeďování komunálního odpadu </w:t>
      </w:r>
    </w:p>
    <w:p w14:paraId="739B2088" w14:textId="77777777" w:rsidR="00832440" w:rsidRDefault="00832440">
      <w:pPr>
        <w:jc w:val="center"/>
        <w:rPr>
          <w:rFonts w:ascii="Arial" w:hAnsi="Arial" w:cs="Arial"/>
          <w:sz w:val="22"/>
          <w:szCs w:val="22"/>
        </w:rPr>
      </w:pPr>
    </w:p>
    <w:p w14:paraId="213C0129" w14:textId="77777777" w:rsidR="00832440" w:rsidRDefault="003D715A">
      <w:pPr>
        <w:numPr>
          <w:ilvl w:val="0"/>
          <w:numId w:val="6"/>
        </w:numPr>
        <w:ind w:left="0" w:hanging="426"/>
        <w:jc w:val="both"/>
      </w:pPr>
      <w:r>
        <w:rPr>
          <w:rFonts w:ascii="Arial" w:hAnsi="Arial" w:cs="Arial"/>
          <w:sz w:val="22"/>
          <w:szCs w:val="22"/>
        </w:rPr>
        <w:t>Osoby předávající komunální odpad na místa určená obcí jsou povinny odděleně soustřeďovat následující složky:</w:t>
      </w:r>
    </w:p>
    <w:p w14:paraId="16055033" w14:textId="77777777" w:rsidR="00832440" w:rsidRDefault="00832440">
      <w:pPr>
        <w:rPr>
          <w:rFonts w:ascii="Arial" w:hAnsi="Arial" w:cs="Arial"/>
          <w:i/>
          <w:iCs/>
          <w:sz w:val="22"/>
          <w:szCs w:val="22"/>
        </w:rPr>
      </w:pPr>
    </w:p>
    <w:p w14:paraId="64E260E2" w14:textId="77777777" w:rsidR="00832440" w:rsidRDefault="003D715A">
      <w:pPr>
        <w:pStyle w:val="Odstavecseseznamem"/>
        <w:numPr>
          <w:ilvl w:val="0"/>
          <w:numId w:val="11"/>
        </w:numPr>
        <w:autoSpaceDE w:val="0"/>
        <w:spacing w:after="0" w:line="240" w:lineRule="auto"/>
      </w:pPr>
      <w:r>
        <w:rPr>
          <w:rFonts w:ascii="Arial" w:hAnsi="Arial" w:cs="Arial"/>
          <w:bCs/>
          <w:i/>
        </w:rPr>
        <w:t>Biologické odpady rostlinného původu,</w:t>
      </w:r>
    </w:p>
    <w:p w14:paraId="5BABAC52" w14:textId="77777777" w:rsidR="00832440" w:rsidRDefault="003D715A">
      <w:pPr>
        <w:pStyle w:val="Odstavecseseznamem"/>
        <w:numPr>
          <w:ilvl w:val="0"/>
          <w:numId w:val="11"/>
        </w:numPr>
        <w:tabs>
          <w:tab w:val="left" w:pos="567"/>
        </w:tabs>
        <w:autoSpaceDE w:val="0"/>
        <w:spacing w:after="0" w:line="240" w:lineRule="auto"/>
        <w:rPr>
          <w:rFonts w:ascii="Arial" w:hAnsi="Arial" w:cs="Arial"/>
          <w:bCs/>
          <w:i/>
        </w:rPr>
      </w:pPr>
      <w:r>
        <w:rPr>
          <w:rFonts w:ascii="Arial" w:hAnsi="Arial" w:cs="Arial"/>
          <w:bCs/>
          <w:i/>
        </w:rPr>
        <w:t>Papír,</w:t>
      </w:r>
    </w:p>
    <w:p w14:paraId="63FEA70B" w14:textId="77777777" w:rsidR="00832440" w:rsidRDefault="003D715A">
      <w:pPr>
        <w:pStyle w:val="Odstavecseseznamem"/>
        <w:numPr>
          <w:ilvl w:val="0"/>
          <w:numId w:val="11"/>
        </w:numPr>
        <w:tabs>
          <w:tab w:val="left" w:pos="567"/>
        </w:tabs>
        <w:autoSpaceDE w:val="0"/>
        <w:spacing w:after="0" w:line="240" w:lineRule="auto"/>
        <w:rPr>
          <w:rFonts w:ascii="Arial" w:hAnsi="Arial" w:cs="Arial"/>
          <w:bCs/>
          <w:i/>
        </w:rPr>
      </w:pPr>
      <w:r>
        <w:rPr>
          <w:rFonts w:ascii="Arial" w:hAnsi="Arial" w:cs="Arial"/>
          <w:bCs/>
          <w:i/>
        </w:rPr>
        <w:lastRenderedPageBreak/>
        <w:t xml:space="preserve">Plasty </w:t>
      </w:r>
      <w:r>
        <w:rPr>
          <w:rFonts w:ascii="Arial" w:hAnsi="Arial" w:cs="Arial"/>
          <w:bCs/>
          <w:i/>
        </w:rPr>
        <w:t>včetně PET lahví a nápojových kartonů, (dále také jen „PLAST“)</w:t>
      </w:r>
    </w:p>
    <w:p w14:paraId="3B5B485C" w14:textId="77777777" w:rsidR="00832440" w:rsidRDefault="003D715A">
      <w:pPr>
        <w:pStyle w:val="Odstavecseseznamem"/>
        <w:numPr>
          <w:ilvl w:val="0"/>
          <w:numId w:val="11"/>
        </w:numPr>
        <w:autoSpaceDE w:val="0"/>
        <w:spacing w:after="0" w:line="240" w:lineRule="auto"/>
      </w:pPr>
      <w:r>
        <w:rPr>
          <w:rFonts w:ascii="Arial" w:hAnsi="Arial" w:cs="Arial"/>
          <w:bCs/>
          <w:i/>
        </w:rPr>
        <w:t>Sklo čiré,</w:t>
      </w:r>
    </w:p>
    <w:p w14:paraId="37F3B276" w14:textId="77777777" w:rsidR="00832440" w:rsidRDefault="003D715A">
      <w:pPr>
        <w:pStyle w:val="Odstavecseseznamem"/>
        <w:numPr>
          <w:ilvl w:val="0"/>
          <w:numId w:val="11"/>
        </w:numPr>
        <w:autoSpaceDE w:val="0"/>
        <w:spacing w:after="0" w:line="240" w:lineRule="auto"/>
        <w:rPr>
          <w:rFonts w:ascii="Arial" w:hAnsi="Arial" w:cs="Arial"/>
          <w:bCs/>
          <w:i/>
        </w:rPr>
      </w:pPr>
      <w:r>
        <w:rPr>
          <w:rFonts w:ascii="Arial" w:hAnsi="Arial" w:cs="Arial"/>
          <w:bCs/>
          <w:i/>
        </w:rPr>
        <w:t>Sklo barevné,</w:t>
      </w:r>
    </w:p>
    <w:p w14:paraId="1B1225D2" w14:textId="77777777" w:rsidR="00832440" w:rsidRDefault="003D715A">
      <w:pPr>
        <w:pStyle w:val="Odstavecseseznamem"/>
        <w:numPr>
          <w:ilvl w:val="0"/>
          <w:numId w:val="11"/>
        </w:numPr>
        <w:autoSpaceDE w:val="0"/>
        <w:spacing w:after="0" w:line="240" w:lineRule="auto"/>
        <w:rPr>
          <w:rFonts w:ascii="Arial" w:hAnsi="Arial" w:cs="Arial"/>
          <w:bCs/>
          <w:i/>
        </w:rPr>
      </w:pPr>
      <w:r>
        <w:rPr>
          <w:rFonts w:ascii="Arial" w:hAnsi="Arial" w:cs="Arial"/>
          <w:bCs/>
          <w:i/>
        </w:rPr>
        <w:t>Kovy,</w:t>
      </w:r>
    </w:p>
    <w:p w14:paraId="2241B1AC" w14:textId="77777777" w:rsidR="00832440" w:rsidRDefault="003D715A">
      <w:pPr>
        <w:numPr>
          <w:ilvl w:val="0"/>
          <w:numId w:val="11"/>
        </w:numPr>
        <w:rPr>
          <w:rFonts w:ascii="Arial" w:hAnsi="Arial" w:cs="Arial"/>
          <w:i/>
          <w:iCs/>
          <w:sz w:val="22"/>
          <w:szCs w:val="22"/>
        </w:rPr>
      </w:pPr>
      <w:r>
        <w:rPr>
          <w:rFonts w:ascii="Arial" w:hAnsi="Arial" w:cs="Arial"/>
          <w:bCs/>
          <w:i/>
          <w:sz w:val="22"/>
          <w:szCs w:val="22"/>
        </w:rPr>
        <w:t>Nebezpečné odpady,</w:t>
      </w:r>
    </w:p>
    <w:p w14:paraId="4D49D8CB" w14:textId="77777777" w:rsidR="00832440" w:rsidRDefault="003D715A">
      <w:pPr>
        <w:numPr>
          <w:ilvl w:val="0"/>
          <w:numId w:val="11"/>
        </w:numPr>
        <w:rPr>
          <w:rFonts w:ascii="Arial" w:hAnsi="Arial" w:cs="Arial"/>
          <w:bCs/>
          <w:i/>
          <w:sz w:val="22"/>
          <w:szCs w:val="22"/>
        </w:rPr>
      </w:pPr>
      <w:r>
        <w:rPr>
          <w:rFonts w:ascii="Arial" w:hAnsi="Arial" w:cs="Arial"/>
          <w:bCs/>
          <w:i/>
          <w:sz w:val="22"/>
          <w:szCs w:val="22"/>
        </w:rPr>
        <w:t>Objemný odpad,</w:t>
      </w:r>
    </w:p>
    <w:p w14:paraId="250EBE43" w14:textId="77777777" w:rsidR="00832440" w:rsidRDefault="003D715A">
      <w:pPr>
        <w:numPr>
          <w:ilvl w:val="0"/>
          <w:numId w:val="11"/>
        </w:numPr>
        <w:rPr>
          <w:rFonts w:ascii="Arial" w:hAnsi="Arial" w:cs="Arial"/>
          <w:i/>
          <w:iCs/>
          <w:sz w:val="22"/>
          <w:szCs w:val="22"/>
        </w:rPr>
      </w:pPr>
      <w:r>
        <w:rPr>
          <w:rFonts w:ascii="Arial" w:hAnsi="Arial" w:cs="Arial"/>
          <w:i/>
          <w:iCs/>
          <w:sz w:val="22"/>
          <w:szCs w:val="22"/>
        </w:rPr>
        <w:t>Jedlé oleje a tuky,</w:t>
      </w:r>
    </w:p>
    <w:p w14:paraId="41A5D400" w14:textId="77777777" w:rsidR="00832440" w:rsidRDefault="003D715A">
      <w:pPr>
        <w:numPr>
          <w:ilvl w:val="0"/>
          <w:numId w:val="11"/>
        </w:numPr>
        <w:rPr>
          <w:rFonts w:ascii="Arial" w:hAnsi="Arial" w:cs="Arial"/>
          <w:i/>
          <w:iCs/>
          <w:sz w:val="22"/>
          <w:szCs w:val="22"/>
        </w:rPr>
      </w:pPr>
      <w:r>
        <w:rPr>
          <w:rFonts w:ascii="Arial" w:hAnsi="Arial" w:cs="Arial"/>
          <w:i/>
          <w:iCs/>
          <w:sz w:val="22"/>
          <w:szCs w:val="22"/>
        </w:rPr>
        <w:t>Textil,</w:t>
      </w:r>
    </w:p>
    <w:p w14:paraId="11C2DEAB" w14:textId="77777777" w:rsidR="00832440" w:rsidRDefault="003D715A">
      <w:pPr>
        <w:numPr>
          <w:ilvl w:val="0"/>
          <w:numId w:val="11"/>
        </w:numPr>
        <w:rPr>
          <w:rFonts w:ascii="Arial" w:hAnsi="Arial" w:cs="Arial"/>
          <w:i/>
          <w:iCs/>
          <w:sz w:val="22"/>
          <w:szCs w:val="22"/>
        </w:rPr>
      </w:pPr>
      <w:r>
        <w:rPr>
          <w:rFonts w:ascii="Arial" w:hAnsi="Arial" w:cs="Arial"/>
          <w:i/>
          <w:iCs/>
          <w:sz w:val="22"/>
          <w:szCs w:val="22"/>
        </w:rPr>
        <w:t>Směsný komunální odpad</w:t>
      </w:r>
    </w:p>
    <w:p w14:paraId="7BE4F15A" w14:textId="77777777" w:rsidR="00832440" w:rsidRDefault="003D715A">
      <w:pPr>
        <w:rPr>
          <w:rFonts w:ascii="Arial" w:hAnsi="Arial" w:cs="Arial"/>
          <w:i/>
          <w:sz w:val="22"/>
          <w:szCs w:val="22"/>
        </w:rPr>
      </w:pPr>
      <w:r>
        <w:rPr>
          <w:rFonts w:ascii="Arial" w:eastAsia="Arial" w:hAnsi="Arial" w:cs="Arial"/>
          <w:i/>
          <w:sz w:val="22"/>
          <w:szCs w:val="22"/>
        </w:rPr>
        <w:t xml:space="preserve"> </w:t>
      </w:r>
    </w:p>
    <w:p w14:paraId="190C027B" w14:textId="77777777" w:rsidR="00832440" w:rsidRDefault="003D715A">
      <w:pPr>
        <w:pStyle w:val="Zkladntextodsazen"/>
        <w:numPr>
          <w:ilvl w:val="0"/>
          <w:numId w:val="6"/>
        </w:numPr>
        <w:ind w:left="0" w:hanging="426"/>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 b), c), d), e), f), g), h), i) a j).</w:t>
      </w:r>
    </w:p>
    <w:p w14:paraId="7CC7FB07" w14:textId="77777777" w:rsidR="00832440" w:rsidRDefault="00832440">
      <w:pPr>
        <w:pStyle w:val="Zkladntextodsazen"/>
        <w:ind w:left="360" w:firstLine="0"/>
        <w:rPr>
          <w:rFonts w:ascii="Arial" w:hAnsi="Arial" w:cs="Arial"/>
          <w:sz w:val="22"/>
          <w:szCs w:val="22"/>
        </w:rPr>
      </w:pPr>
    </w:p>
    <w:p w14:paraId="1EF62D49" w14:textId="77777777" w:rsidR="00832440" w:rsidRDefault="003D715A">
      <w:pPr>
        <w:pStyle w:val="Zkladntextodsazen"/>
        <w:numPr>
          <w:ilvl w:val="0"/>
          <w:numId w:val="6"/>
        </w:numPr>
        <w:ind w:left="0" w:hanging="426"/>
      </w:pPr>
      <w:r>
        <w:rPr>
          <w:rFonts w:ascii="Arial" w:hAnsi="Arial" w:cs="Arial"/>
          <w:sz w:val="22"/>
          <w:szCs w:val="22"/>
        </w:rPr>
        <w:t>Objemný odpad je takový odpad, který vzhledem ke svým rozměrům nemůže být umístěn do sběrných nádob (</w:t>
      </w:r>
      <w:r>
        <w:rPr>
          <w:rFonts w:ascii="Arial" w:hAnsi="Arial" w:cs="Arial"/>
          <w:i/>
          <w:iCs/>
          <w:sz w:val="22"/>
          <w:szCs w:val="22"/>
        </w:rPr>
        <w:t xml:space="preserve">např. koberce, matrace, </w:t>
      </w:r>
      <w:proofErr w:type="gramStart"/>
      <w:r>
        <w:rPr>
          <w:rFonts w:ascii="Arial" w:hAnsi="Arial" w:cs="Arial"/>
          <w:i/>
          <w:iCs/>
          <w:sz w:val="22"/>
          <w:szCs w:val="22"/>
        </w:rPr>
        <w:t>nábytek,…</w:t>
      </w:r>
      <w:proofErr w:type="gramEnd"/>
      <w:r>
        <w:rPr>
          <w:rFonts w:ascii="Arial" w:hAnsi="Arial" w:cs="Arial"/>
          <w:sz w:val="22"/>
          <w:szCs w:val="22"/>
        </w:rPr>
        <w:t>).</w:t>
      </w:r>
    </w:p>
    <w:p w14:paraId="6534192B" w14:textId="77777777" w:rsidR="00832440" w:rsidRDefault="00832440">
      <w:pPr>
        <w:pStyle w:val="Zkladntextodsazen"/>
        <w:ind w:left="360" w:firstLine="0"/>
        <w:rPr>
          <w:rFonts w:ascii="Arial" w:hAnsi="Arial" w:cs="Arial"/>
          <w:sz w:val="22"/>
          <w:szCs w:val="22"/>
        </w:rPr>
      </w:pPr>
    </w:p>
    <w:p w14:paraId="1AB663AF" w14:textId="77777777" w:rsidR="00832440" w:rsidRDefault="00832440">
      <w:pPr>
        <w:pStyle w:val="Zkladntextodsazen"/>
        <w:ind w:left="720" w:firstLine="0"/>
        <w:jc w:val="center"/>
        <w:rPr>
          <w:rFonts w:ascii="Arial" w:hAnsi="Arial" w:cs="Arial"/>
          <w:sz w:val="22"/>
          <w:szCs w:val="22"/>
        </w:rPr>
      </w:pPr>
    </w:p>
    <w:p w14:paraId="621AFAFA" w14:textId="77777777" w:rsidR="00832440" w:rsidRDefault="003D715A">
      <w:pPr>
        <w:jc w:val="center"/>
        <w:rPr>
          <w:rFonts w:ascii="Arial" w:hAnsi="Arial" w:cs="Arial"/>
          <w:b/>
          <w:sz w:val="22"/>
          <w:szCs w:val="22"/>
        </w:rPr>
      </w:pPr>
      <w:r>
        <w:rPr>
          <w:rFonts w:ascii="Arial" w:hAnsi="Arial" w:cs="Arial"/>
          <w:b/>
          <w:sz w:val="22"/>
          <w:szCs w:val="22"/>
        </w:rPr>
        <w:t>Čl. 3</w:t>
      </w:r>
    </w:p>
    <w:p w14:paraId="401B30D2" w14:textId="77777777" w:rsidR="00832440" w:rsidRDefault="003D715A">
      <w:pPr>
        <w:pStyle w:val="Nadpis2"/>
        <w:jc w:val="center"/>
        <w:rPr>
          <w:rFonts w:ascii="Arial" w:hAnsi="Arial" w:cs="Arial"/>
          <w:b/>
          <w:bCs/>
          <w:sz w:val="22"/>
          <w:szCs w:val="22"/>
          <w:u w:val="none"/>
        </w:rPr>
      </w:pPr>
      <w:r>
        <w:rPr>
          <w:rFonts w:ascii="Arial" w:hAnsi="Arial" w:cs="Arial"/>
          <w:b/>
          <w:bCs/>
          <w:sz w:val="22"/>
          <w:szCs w:val="22"/>
          <w:u w:val="none"/>
        </w:rPr>
        <w:t xml:space="preserve">Soustřeďování papíru, plastů, skla </w:t>
      </w:r>
      <w:r>
        <w:rPr>
          <w:rFonts w:ascii="Arial" w:hAnsi="Arial" w:cs="Arial"/>
          <w:b/>
          <w:bCs/>
          <w:sz w:val="22"/>
          <w:szCs w:val="22"/>
          <w:u w:val="none"/>
        </w:rPr>
        <w:t>čirého, skla barevného, kovů, biologického odpadu rostlinného původu, jedlých olejů a tuků, textilu</w:t>
      </w:r>
    </w:p>
    <w:p w14:paraId="6E2CC69F" w14:textId="77777777" w:rsidR="00832440" w:rsidRDefault="00832440">
      <w:pPr>
        <w:tabs>
          <w:tab w:val="left" w:pos="927"/>
        </w:tabs>
        <w:jc w:val="both"/>
        <w:rPr>
          <w:rFonts w:ascii="Arial" w:hAnsi="Arial" w:cs="Arial"/>
          <w:b/>
          <w:bCs/>
          <w:sz w:val="22"/>
          <w:szCs w:val="22"/>
          <w:u w:val="single"/>
        </w:rPr>
      </w:pPr>
    </w:p>
    <w:p w14:paraId="46CCB5E7" w14:textId="77777777" w:rsidR="00832440" w:rsidRDefault="003D715A">
      <w:pPr>
        <w:numPr>
          <w:ilvl w:val="0"/>
          <w:numId w:val="4"/>
        </w:numPr>
        <w:ind w:left="0" w:hanging="426"/>
        <w:jc w:val="both"/>
      </w:pPr>
      <w:r>
        <w:rPr>
          <w:rFonts w:ascii="Arial" w:hAnsi="Arial" w:cs="Arial"/>
          <w:sz w:val="22"/>
          <w:szCs w:val="22"/>
        </w:rPr>
        <w:t xml:space="preserve">Tříděný odpad je shromažďován do </w:t>
      </w:r>
      <w:r>
        <w:rPr>
          <w:rFonts w:ascii="Arial" w:hAnsi="Arial" w:cs="Arial"/>
          <w:bCs/>
          <w:sz w:val="22"/>
          <w:szCs w:val="22"/>
        </w:rPr>
        <w:t xml:space="preserve">zvláštních sběrných nádob, kterými jsou sběrné nádoby, popelnice a velkoobjemové kontejnery. </w:t>
      </w:r>
    </w:p>
    <w:p w14:paraId="366B2760" w14:textId="77777777" w:rsidR="00832440" w:rsidRDefault="00832440">
      <w:pPr>
        <w:tabs>
          <w:tab w:val="left" w:pos="927"/>
        </w:tabs>
        <w:ind w:left="360"/>
        <w:jc w:val="both"/>
        <w:rPr>
          <w:rFonts w:ascii="Arial" w:hAnsi="Arial" w:cs="Arial"/>
          <w:bCs/>
          <w:sz w:val="22"/>
          <w:szCs w:val="22"/>
        </w:rPr>
      </w:pPr>
    </w:p>
    <w:p w14:paraId="47D25A27" w14:textId="77777777" w:rsidR="00832440" w:rsidRDefault="003D715A">
      <w:pPr>
        <w:numPr>
          <w:ilvl w:val="0"/>
          <w:numId w:val="4"/>
        </w:numPr>
        <w:ind w:left="0" w:hanging="426"/>
        <w:jc w:val="both"/>
        <w:rPr>
          <w:rFonts w:ascii="Arial" w:hAnsi="Arial" w:cs="Arial"/>
          <w:sz w:val="22"/>
          <w:szCs w:val="22"/>
        </w:rPr>
      </w:pPr>
      <w:r>
        <w:rPr>
          <w:rFonts w:ascii="Arial" w:hAnsi="Arial" w:cs="Arial"/>
          <w:sz w:val="22"/>
          <w:szCs w:val="22"/>
        </w:rPr>
        <w:t>Zvláštní sběrné nádoby jsou umístěny na stanovištích uvedených na webových stránkách obce.</w:t>
      </w:r>
    </w:p>
    <w:p w14:paraId="6BD9608F" w14:textId="77777777" w:rsidR="00832440" w:rsidRDefault="00832440">
      <w:pPr>
        <w:tabs>
          <w:tab w:val="left" w:pos="927"/>
        </w:tabs>
        <w:jc w:val="both"/>
        <w:rPr>
          <w:rFonts w:ascii="Arial" w:hAnsi="Arial" w:cs="Arial"/>
          <w:sz w:val="22"/>
          <w:szCs w:val="22"/>
        </w:rPr>
      </w:pPr>
    </w:p>
    <w:p w14:paraId="0D5A385A" w14:textId="77777777" w:rsidR="00832440" w:rsidRDefault="003D715A">
      <w:pPr>
        <w:ind w:firstLine="360"/>
        <w:jc w:val="both"/>
        <w:rPr>
          <w:rFonts w:ascii="Arial" w:hAnsi="Arial" w:cs="Arial"/>
          <w:sz w:val="22"/>
          <w:szCs w:val="22"/>
        </w:rPr>
      </w:pPr>
      <w:r>
        <w:rPr>
          <w:rFonts w:ascii="Arial" w:hAnsi="Arial" w:cs="Arial"/>
          <w:sz w:val="22"/>
          <w:szCs w:val="22"/>
        </w:rPr>
        <w:t>Zvláštní sběrné nádoby na biologický odpad:</w:t>
      </w:r>
    </w:p>
    <w:p w14:paraId="59308579" w14:textId="77777777" w:rsidR="00832440" w:rsidRDefault="003D715A">
      <w:pPr>
        <w:numPr>
          <w:ilvl w:val="0"/>
          <w:numId w:val="3"/>
        </w:numPr>
        <w:jc w:val="both"/>
        <w:rPr>
          <w:rFonts w:ascii="Arial" w:hAnsi="Arial" w:cs="Arial"/>
          <w:sz w:val="22"/>
          <w:szCs w:val="22"/>
        </w:rPr>
      </w:pPr>
      <w:r>
        <w:rPr>
          <w:rFonts w:ascii="Arial" w:hAnsi="Arial" w:cs="Arial"/>
          <w:sz w:val="22"/>
          <w:szCs w:val="22"/>
        </w:rPr>
        <w:t>velkoobjemové kontejnery o objemu 10 m</w:t>
      </w:r>
      <w:r>
        <w:rPr>
          <w:rFonts w:ascii="Arial" w:hAnsi="Arial" w:cs="Arial"/>
          <w:sz w:val="22"/>
          <w:szCs w:val="22"/>
          <w:vertAlign w:val="superscript"/>
        </w:rPr>
        <w:t xml:space="preserve">3 </w:t>
      </w:r>
      <w:r>
        <w:rPr>
          <w:rFonts w:ascii="Arial" w:hAnsi="Arial" w:cs="Arial"/>
          <w:sz w:val="22"/>
          <w:szCs w:val="22"/>
        </w:rPr>
        <w:t>a 6 m</w:t>
      </w:r>
      <w:r>
        <w:rPr>
          <w:rFonts w:ascii="Arial" w:hAnsi="Arial" w:cs="Arial"/>
          <w:sz w:val="22"/>
          <w:szCs w:val="22"/>
          <w:vertAlign w:val="superscript"/>
        </w:rPr>
        <w:t>3</w:t>
      </w:r>
    </w:p>
    <w:p w14:paraId="357D5650" w14:textId="77777777" w:rsidR="00832440" w:rsidRDefault="003D715A">
      <w:pPr>
        <w:numPr>
          <w:ilvl w:val="0"/>
          <w:numId w:val="3"/>
        </w:numPr>
        <w:jc w:val="both"/>
        <w:rPr>
          <w:rFonts w:ascii="Arial" w:hAnsi="Arial" w:cs="Arial"/>
          <w:i/>
          <w:sz w:val="22"/>
          <w:szCs w:val="22"/>
        </w:rPr>
      </w:pPr>
      <w:r>
        <w:rPr>
          <w:rFonts w:ascii="Arial" w:hAnsi="Arial" w:cs="Arial"/>
          <w:sz w:val="22"/>
          <w:szCs w:val="22"/>
        </w:rPr>
        <w:t xml:space="preserve">plastové nádoby zelené barvy na jedlé oleje a tuky z domácností o objemu 240 l </w:t>
      </w:r>
    </w:p>
    <w:p w14:paraId="24650F5C" w14:textId="77777777" w:rsidR="00832440" w:rsidRDefault="00832440">
      <w:pPr>
        <w:ind w:left="720"/>
        <w:jc w:val="both"/>
        <w:rPr>
          <w:rFonts w:ascii="Arial" w:hAnsi="Arial" w:cs="Arial"/>
          <w:i/>
          <w:sz w:val="22"/>
          <w:szCs w:val="22"/>
        </w:rPr>
      </w:pPr>
    </w:p>
    <w:p w14:paraId="540AFD29" w14:textId="77777777" w:rsidR="00832440" w:rsidRDefault="003D715A">
      <w:pPr>
        <w:pStyle w:val="NormlnIMP"/>
        <w:numPr>
          <w:ilvl w:val="0"/>
          <w:numId w:val="4"/>
        </w:numPr>
        <w:suppressAutoHyphens w:val="0"/>
        <w:overflowPunct/>
        <w:autoSpaceDE/>
        <w:spacing w:line="240" w:lineRule="auto"/>
        <w:ind w:left="0" w:hanging="426"/>
        <w:textAlignment w:val="auto"/>
      </w:pPr>
      <w:r>
        <w:rPr>
          <w:rFonts w:ascii="Arial" w:hAnsi="Arial" w:cs="Arial"/>
          <w:sz w:val="22"/>
          <w:szCs w:val="22"/>
        </w:rPr>
        <w:t>Pro shromažďování papíru, barevného a čirého skla, plastů včetně PET lahví a nápojových kartonů, kovů a textilu jsou určeny tyto zvláštní sběrné nádoby, které jsou barevně odlišeny a označeny příslušnými nápisy:</w:t>
      </w:r>
    </w:p>
    <w:p w14:paraId="449EE556" w14:textId="77777777" w:rsidR="00832440" w:rsidRDefault="00832440">
      <w:pPr>
        <w:pStyle w:val="NormlnIMP"/>
        <w:tabs>
          <w:tab w:val="left" w:pos="540"/>
          <w:tab w:val="left" w:pos="927"/>
        </w:tabs>
        <w:suppressAutoHyphens w:val="0"/>
        <w:overflowPunct/>
        <w:autoSpaceDE/>
        <w:spacing w:line="240" w:lineRule="auto"/>
        <w:ind w:left="426"/>
        <w:textAlignment w:val="auto"/>
        <w:rPr>
          <w:rFonts w:ascii="Arial" w:hAnsi="Arial" w:cs="Arial"/>
          <w:sz w:val="22"/>
          <w:szCs w:val="22"/>
        </w:rPr>
      </w:pPr>
    </w:p>
    <w:p w14:paraId="1ED0ED1C" w14:textId="77777777" w:rsidR="00832440" w:rsidRDefault="003D715A">
      <w:pPr>
        <w:pStyle w:val="NormlnIMP"/>
        <w:numPr>
          <w:ilvl w:val="0"/>
          <w:numId w:val="2"/>
        </w:numPr>
        <w:suppressAutoHyphens w:val="0"/>
        <w:overflowPunct/>
        <w:autoSpaceDE/>
        <w:spacing w:line="240" w:lineRule="auto"/>
        <w:textAlignment w:val="auto"/>
        <w:rPr>
          <w:rFonts w:ascii="Arial" w:hAnsi="Arial" w:cs="Arial"/>
          <w:i/>
          <w:sz w:val="22"/>
          <w:szCs w:val="22"/>
        </w:rPr>
      </w:pPr>
      <w:r>
        <w:rPr>
          <w:rFonts w:ascii="Arial" w:hAnsi="Arial" w:cs="Arial"/>
          <w:i/>
          <w:sz w:val="22"/>
          <w:szCs w:val="22"/>
        </w:rPr>
        <w:t xml:space="preserve">papír – sběrná nádoba, modré barvy; </w:t>
      </w:r>
      <w:r>
        <w:rPr>
          <w:rFonts w:ascii="Arial" w:hAnsi="Arial" w:cs="Arial"/>
          <w:bCs/>
          <w:i/>
          <w:sz w:val="22"/>
          <w:szCs w:val="22"/>
        </w:rPr>
        <w:t>popelnice 240 l, barva černá s modrou klipsou</w:t>
      </w:r>
    </w:p>
    <w:p w14:paraId="50250EFB" w14:textId="77777777" w:rsidR="00832440" w:rsidRDefault="003D715A">
      <w:pPr>
        <w:pStyle w:val="NormlnIMP"/>
        <w:numPr>
          <w:ilvl w:val="0"/>
          <w:numId w:val="2"/>
        </w:numPr>
        <w:suppressAutoHyphens w:val="0"/>
        <w:overflowPunct/>
        <w:autoSpaceDE/>
        <w:spacing w:line="240" w:lineRule="auto"/>
        <w:textAlignment w:val="auto"/>
      </w:pPr>
      <w:r>
        <w:rPr>
          <w:rFonts w:ascii="Arial" w:hAnsi="Arial" w:cs="Arial"/>
          <w:i/>
          <w:sz w:val="22"/>
          <w:szCs w:val="22"/>
        </w:rPr>
        <w:t>sklo čiré – sběrná nádoba, bílé barvy</w:t>
      </w:r>
    </w:p>
    <w:p w14:paraId="38BC9BC9" w14:textId="77777777" w:rsidR="00832440" w:rsidRDefault="003D715A">
      <w:pPr>
        <w:pStyle w:val="NormlnIMP"/>
        <w:numPr>
          <w:ilvl w:val="0"/>
          <w:numId w:val="2"/>
        </w:numPr>
        <w:suppressAutoHyphens w:val="0"/>
        <w:overflowPunct/>
        <w:autoSpaceDE/>
        <w:spacing w:line="240" w:lineRule="auto"/>
        <w:textAlignment w:val="auto"/>
      </w:pPr>
      <w:r>
        <w:rPr>
          <w:rFonts w:ascii="Arial" w:hAnsi="Arial" w:cs="Arial"/>
          <w:i/>
          <w:sz w:val="22"/>
          <w:szCs w:val="22"/>
        </w:rPr>
        <w:t>sklo barevné – sběrná nádoba, zelené barvy</w:t>
      </w:r>
    </w:p>
    <w:p w14:paraId="36B13760" w14:textId="77777777" w:rsidR="00832440" w:rsidRDefault="003D715A">
      <w:pPr>
        <w:pStyle w:val="NormlnIMP"/>
        <w:numPr>
          <w:ilvl w:val="0"/>
          <w:numId w:val="2"/>
        </w:numPr>
        <w:suppressAutoHyphens w:val="0"/>
        <w:overflowPunct/>
        <w:autoSpaceDE/>
        <w:spacing w:line="240" w:lineRule="auto"/>
        <w:textAlignment w:val="auto"/>
        <w:rPr>
          <w:rFonts w:ascii="Arial" w:hAnsi="Arial" w:cs="Arial"/>
          <w:i/>
          <w:sz w:val="22"/>
          <w:szCs w:val="22"/>
        </w:rPr>
      </w:pPr>
      <w:r>
        <w:rPr>
          <w:rFonts w:ascii="Arial" w:hAnsi="Arial" w:cs="Arial"/>
          <w:i/>
          <w:sz w:val="22"/>
          <w:szCs w:val="22"/>
        </w:rPr>
        <w:t xml:space="preserve">plasty včetně PET lahví a nápojových kartonů – sběrná nádoba, žluté barvy; </w:t>
      </w:r>
      <w:r>
        <w:rPr>
          <w:rFonts w:ascii="Arial" w:hAnsi="Arial" w:cs="Arial"/>
          <w:bCs/>
          <w:i/>
          <w:sz w:val="22"/>
          <w:szCs w:val="22"/>
        </w:rPr>
        <w:t>popelnice 240 l, barva černá se žlutou klipsou</w:t>
      </w:r>
    </w:p>
    <w:p w14:paraId="47A6310C" w14:textId="77777777" w:rsidR="00832440" w:rsidRDefault="003D715A">
      <w:pPr>
        <w:pStyle w:val="NormlnIMP"/>
        <w:numPr>
          <w:ilvl w:val="0"/>
          <w:numId w:val="2"/>
        </w:numPr>
        <w:suppressAutoHyphens w:val="0"/>
        <w:overflowPunct/>
        <w:autoSpaceDE/>
        <w:spacing w:line="240" w:lineRule="auto"/>
        <w:textAlignment w:val="auto"/>
        <w:rPr>
          <w:rFonts w:ascii="Arial" w:hAnsi="Arial" w:cs="Arial"/>
          <w:i/>
          <w:sz w:val="22"/>
          <w:szCs w:val="22"/>
        </w:rPr>
      </w:pPr>
      <w:r>
        <w:rPr>
          <w:rFonts w:ascii="Arial" w:hAnsi="Arial" w:cs="Arial"/>
          <w:i/>
          <w:sz w:val="22"/>
          <w:szCs w:val="22"/>
        </w:rPr>
        <w:t>kovy – velkoobjemový kontejner, černé barvy</w:t>
      </w:r>
    </w:p>
    <w:p w14:paraId="4DB464A9" w14:textId="77777777" w:rsidR="00832440" w:rsidRDefault="003D715A">
      <w:pPr>
        <w:pStyle w:val="NormlnIMP"/>
        <w:numPr>
          <w:ilvl w:val="0"/>
          <w:numId w:val="2"/>
        </w:numPr>
        <w:suppressAutoHyphens w:val="0"/>
        <w:overflowPunct/>
        <w:autoSpaceDE/>
        <w:spacing w:line="240" w:lineRule="auto"/>
        <w:textAlignment w:val="auto"/>
        <w:rPr>
          <w:rFonts w:ascii="Arial" w:hAnsi="Arial" w:cs="Arial"/>
          <w:i/>
          <w:sz w:val="22"/>
          <w:szCs w:val="22"/>
        </w:rPr>
      </w:pPr>
      <w:r>
        <w:rPr>
          <w:rFonts w:ascii="Arial" w:hAnsi="Arial" w:cs="Arial"/>
          <w:i/>
          <w:sz w:val="22"/>
          <w:szCs w:val="22"/>
        </w:rPr>
        <w:t xml:space="preserve">textil – sběrná nádoba, bílé barvy </w:t>
      </w:r>
    </w:p>
    <w:p w14:paraId="1C86964A" w14:textId="77777777" w:rsidR="00832440" w:rsidRDefault="00832440">
      <w:pPr>
        <w:pStyle w:val="NormlnIMP"/>
        <w:suppressAutoHyphens w:val="0"/>
        <w:overflowPunct/>
        <w:autoSpaceDE/>
        <w:spacing w:line="240" w:lineRule="auto"/>
        <w:textAlignment w:val="auto"/>
        <w:rPr>
          <w:rFonts w:ascii="Arial" w:hAnsi="Arial" w:cs="Arial"/>
          <w:i/>
          <w:sz w:val="22"/>
          <w:szCs w:val="22"/>
        </w:rPr>
      </w:pPr>
    </w:p>
    <w:p w14:paraId="72406820" w14:textId="77777777" w:rsidR="00832440" w:rsidRDefault="003D715A">
      <w:pPr>
        <w:pStyle w:val="NormlnIMP"/>
        <w:numPr>
          <w:ilvl w:val="0"/>
          <w:numId w:val="4"/>
        </w:numPr>
        <w:suppressAutoHyphens w:val="0"/>
        <w:overflowPunct/>
        <w:autoSpaceDE/>
        <w:spacing w:after="240" w:line="240" w:lineRule="auto"/>
        <w:ind w:left="0" w:hanging="426"/>
        <w:textAlignment w:val="auto"/>
        <w:rPr>
          <w:rFonts w:ascii="Arial" w:hAnsi="Arial" w:cs="Arial"/>
          <w:sz w:val="22"/>
          <w:szCs w:val="22"/>
        </w:rPr>
      </w:pPr>
      <w:r>
        <w:rPr>
          <w:rFonts w:ascii="Arial" w:hAnsi="Arial" w:cs="Arial"/>
          <w:sz w:val="22"/>
          <w:szCs w:val="22"/>
        </w:rPr>
        <w:t xml:space="preserve">Ke shromažďování papíru a plastů dále slouží systém „dům od domu“, </w:t>
      </w:r>
      <w:r>
        <w:rPr>
          <w:rFonts w:ascii="Arial" w:hAnsi="Arial" w:cs="Arial"/>
          <w:sz w:val="22"/>
          <w:szCs w:val="22"/>
        </w:rPr>
        <w:t>zajišťovaný zvláštními sběrnými nádobami (popelnicemi o objemu 240 l, s barevně odlišenými klipsami). Stanoviště zvláštních sběrných nádob jsou podél svozové trasy vymezené v příloze č. 1. Harmonogram svozu je zveřejněn na webových stránkách obce.</w:t>
      </w:r>
    </w:p>
    <w:p w14:paraId="2BE78C43" w14:textId="77777777" w:rsidR="00832440" w:rsidRDefault="003D715A">
      <w:pPr>
        <w:numPr>
          <w:ilvl w:val="0"/>
          <w:numId w:val="4"/>
        </w:numPr>
        <w:ind w:left="0" w:hanging="426"/>
        <w:jc w:val="both"/>
      </w:pPr>
      <w:r>
        <w:rPr>
          <w:rFonts w:ascii="Arial" w:hAnsi="Arial" w:cs="Arial"/>
          <w:sz w:val="22"/>
          <w:szCs w:val="22"/>
        </w:rPr>
        <w:t>Do zvláštních sběrných nádob je zakázáno ukládat jiné složky komunálních odpadů, než pro které jsou určeny.</w:t>
      </w:r>
    </w:p>
    <w:p w14:paraId="6CFCAAE6" w14:textId="77777777" w:rsidR="00832440" w:rsidRDefault="003D715A">
      <w:pPr>
        <w:numPr>
          <w:ilvl w:val="0"/>
          <w:numId w:val="4"/>
        </w:numPr>
        <w:ind w:left="0" w:hanging="426"/>
        <w:jc w:val="both"/>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4351B1D" w14:textId="77777777" w:rsidR="00832440" w:rsidRDefault="00832440">
      <w:pPr>
        <w:pStyle w:val="Default"/>
        <w:ind w:left="360"/>
        <w:rPr>
          <w:sz w:val="22"/>
          <w:szCs w:val="22"/>
        </w:rPr>
      </w:pPr>
    </w:p>
    <w:p w14:paraId="745DEE31" w14:textId="77777777" w:rsidR="00832440" w:rsidRDefault="00832440">
      <w:pPr>
        <w:pStyle w:val="Default"/>
        <w:ind w:left="360"/>
      </w:pPr>
    </w:p>
    <w:p w14:paraId="5287B2A7" w14:textId="77777777" w:rsidR="00832440" w:rsidRDefault="003D715A">
      <w:pPr>
        <w:pStyle w:val="Nadpis2"/>
        <w:jc w:val="center"/>
        <w:rPr>
          <w:rFonts w:ascii="Arial" w:hAnsi="Arial" w:cs="Arial"/>
          <w:b/>
          <w:bCs/>
          <w:sz w:val="22"/>
          <w:szCs w:val="22"/>
          <w:u w:val="none"/>
        </w:rPr>
      </w:pPr>
      <w:r>
        <w:rPr>
          <w:rFonts w:ascii="Arial" w:hAnsi="Arial" w:cs="Arial"/>
          <w:b/>
          <w:bCs/>
          <w:sz w:val="22"/>
          <w:szCs w:val="22"/>
          <w:u w:val="none"/>
        </w:rPr>
        <w:t>Čl. 4</w:t>
      </w:r>
    </w:p>
    <w:p w14:paraId="3ADD9D64" w14:textId="77777777" w:rsidR="00832440" w:rsidRDefault="003D715A">
      <w:pPr>
        <w:pStyle w:val="Nadpis2"/>
        <w:jc w:val="center"/>
      </w:pPr>
      <w:r>
        <w:rPr>
          <w:rFonts w:ascii="Arial" w:eastAsia="Arial" w:hAnsi="Arial" w:cs="Arial"/>
          <w:b/>
          <w:bCs/>
          <w:sz w:val="22"/>
          <w:szCs w:val="22"/>
          <w:u w:val="none"/>
        </w:rPr>
        <w:t xml:space="preserve"> </w:t>
      </w:r>
      <w:r>
        <w:rPr>
          <w:rFonts w:ascii="Arial" w:hAnsi="Arial" w:cs="Arial"/>
          <w:b/>
          <w:bCs/>
          <w:sz w:val="22"/>
          <w:szCs w:val="22"/>
          <w:u w:val="none"/>
        </w:rPr>
        <w:t>Svoz nebezpečných složek komunálního odpadu</w:t>
      </w:r>
    </w:p>
    <w:p w14:paraId="62EBCE4E" w14:textId="77777777" w:rsidR="00832440" w:rsidRDefault="00832440">
      <w:pPr>
        <w:ind w:left="360"/>
        <w:jc w:val="center"/>
        <w:rPr>
          <w:rFonts w:ascii="Arial" w:hAnsi="Arial" w:cs="Arial"/>
          <w:b/>
          <w:bCs/>
          <w:sz w:val="22"/>
          <w:szCs w:val="22"/>
        </w:rPr>
      </w:pPr>
    </w:p>
    <w:p w14:paraId="0B568365" w14:textId="77777777" w:rsidR="00832440" w:rsidRDefault="003D715A">
      <w:pPr>
        <w:numPr>
          <w:ilvl w:val="0"/>
          <w:numId w:val="9"/>
        </w:numPr>
        <w:ind w:left="0" w:hanging="426"/>
        <w:jc w:val="both"/>
      </w:pPr>
      <w:r>
        <w:rPr>
          <w:rFonts w:ascii="Arial" w:hAnsi="Arial" w:cs="Arial"/>
          <w:sz w:val="22"/>
          <w:szCs w:val="22"/>
        </w:rPr>
        <w:t xml:space="preserve">Svoz nebezpečných složek komunálního odpadu je zajišťován </w:t>
      </w:r>
      <w:r>
        <w:rPr>
          <w:rFonts w:ascii="Arial" w:hAnsi="Arial" w:cs="Arial"/>
          <w:iCs/>
          <w:sz w:val="22"/>
          <w:szCs w:val="22"/>
        </w:rPr>
        <w:t>minimálně dvakrát ročně</w:t>
      </w:r>
      <w:r>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w:t>
      </w:r>
      <w:r>
        <w:rPr>
          <w:rFonts w:ascii="Arial" w:hAnsi="Arial" w:cs="Arial"/>
          <w:iCs/>
          <w:sz w:val="22"/>
          <w:szCs w:val="22"/>
        </w:rPr>
        <w:t>na webových stránkách obce,</w:t>
      </w:r>
      <w:r>
        <w:rPr>
          <w:rFonts w:ascii="Arial" w:hAnsi="Arial" w:cs="Arial"/>
          <w:sz w:val="22"/>
          <w:szCs w:val="22"/>
        </w:rPr>
        <w:t xml:space="preserve"> m</w:t>
      </w:r>
      <w:r>
        <w:rPr>
          <w:rFonts w:ascii="Arial" w:hAnsi="Arial" w:cs="Arial"/>
          <w:iCs/>
          <w:sz w:val="22"/>
          <w:szCs w:val="22"/>
        </w:rPr>
        <w:t>ístním tisku, v místním rozhlase.</w:t>
      </w:r>
    </w:p>
    <w:p w14:paraId="10FB733D" w14:textId="77777777" w:rsidR="00832440" w:rsidRDefault="00832440">
      <w:pPr>
        <w:jc w:val="both"/>
        <w:rPr>
          <w:rFonts w:ascii="Arial" w:hAnsi="Arial" w:cs="Arial"/>
          <w:iCs/>
          <w:sz w:val="22"/>
          <w:szCs w:val="22"/>
        </w:rPr>
      </w:pPr>
    </w:p>
    <w:p w14:paraId="1980B1D2" w14:textId="77777777" w:rsidR="00832440" w:rsidRDefault="003D715A">
      <w:pPr>
        <w:numPr>
          <w:ilvl w:val="0"/>
          <w:numId w:val="9"/>
        </w:numPr>
        <w:ind w:left="0" w:hanging="426"/>
        <w:jc w:val="both"/>
        <w:rPr>
          <w:rFonts w:ascii="Arial" w:hAnsi="Arial" w:cs="Arial"/>
          <w:sz w:val="22"/>
          <w:szCs w:val="22"/>
        </w:rPr>
      </w:pPr>
      <w:r>
        <w:rPr>
          <w:rFonts w:ascii="Arial" w:hAnsi="Arial" w:cs="Arial"/>
          <w:sz w:val="22"/>
          <w:szCs w:val="22"/>
        </w:rPr>
        <w:t>Soustřeďování nebezpečných složek komunálního odpadu podléhá požadavkům stanoveným v čl. 3 odst. 5 a 6.</w:t>
      </w:r>
    </w:p>
    <w:p w14:paraId="793283C7" w14:textId="77777777" w:rsidR="00832440" w:rsidRDefault="003D715A">
      <w:pPr>
        <w:ind w:left="360"/>
        <w:jc w:val="both"/>
        <w:rPr>
          <w:rFonts w:ascii="Arial" w:eastAsia="Arial" w:hAnsi="Arial" w:cs="Arial"/>
          <w:i/>
          <w:sz w:val="22"/>
          <w:szCs w:val="22"/>
        </w:rPr>
      </w:pPr>
      <w:r>
        <w:rPr>
          <w:rFonts w:ascii="Arial" w:eastAsia="Arial" w:hAnsi="Arial" w:cs="Arial"/>
          <w:i/>
          <w:sz w:val="22"/>
          <w:szCs w:val="22"/>
        </w:rPr>
        <w:t xml:space="preserve"> </w:t>
      </w:r>
    </w:p>
    <w:p w14:paraId="21F655DE" w14:textId="77777777" w:rsidR="00832440" w:rsidRDefault="00832440">
      <w:pPr>
        <w:rPr>
          <w:rFonts w:ascii="Arial" w:hAnsi="Arial" w:cs="Arial"/>
          <w:b/>
          <w:i/>
          <w:sz w:val="22"/>
          <w:szCs w:val="22"/>
        </w:rPr>
      </w:pPr>
    </w:p>
    <w:p w14:paraId="0248E0C5" w14:textId="77777777" w:rsidR="00832440" w:rsidRDefault="003D715A">
      <w:pPr>
        <w:jc w:val="center"/>
        <w:rPr>
          <w:rFonts w:ascii="Arial" w:hAnsi="Arial" w:cs="Arial"/>
          <w:b/>
          <w:sz w:val="22"/>
          <w:szCs w:val="22"/>
        </w:rPr>
      </w:pPr>
      <w:r>
        <w:rPr>
          <w:rFonts w:ascii="Arial" w:hAnsi="Arial" w:cs="Arial"/>
          <w:b/>
          <w:sz w:val="22"/>
          <w:szCs w:val="22"/>
        </w:rPr>
        <w:t>Čl. 5</w:t>
      </w:r>
    </w:p>
    <w:p w14:paraId="40E3A51B" w14:textId="77777777" w:rsidR="00832440" w:rsidRDefault="003D715A">
      <w:pPr>
        <w:jc w:val="center"/>
        <w:rPr>
          <w:rFonts w:ascii="Arial" w:hAnsi="Arial" w:cs="Arial"/>
          <w:sz w:val="22"/>
          <w:szCs w:val="22"/>
        </w:rPr>
      </w:pPr>
      <w:r>
        <w:rPr>
          <w:rFonts w:ascii="Arial" w:eastAsia="Arial" w:hAnsi="Arial" w:cs="Arial"/>
          <w:b/>
          <w:sz w:val="22"/>
          <w:szCs w:val="22"/>
        </w:rPr>
        <w:t xml:space="preserve"> </w:t>
      </w:r>
      <w:r>
        <w:rPr>
          <w:rFonts w:ascii="Arial" w:hAnsi="Arial" w:cs="Arial"/>
          <w:b/>
          <w:sz w:val="22"/>
          <w:szCs w:val="22"/>
        </w:rPr>
        <w:t>Svoz objemného odpadu</w:t>
      </w:r>
    </w:p>
    <w:p w14:paraId="7841D7D8" w14:textId="77777777" w:rsidR="00832440" w:rsidRDefault="00832440">
      <w:pPr>
        <w:ind w:left="360" w:hanging="360"/>
        <w:jc w:val="center"/>
        <w:rPr>
          <w:rFonts w:ascii="Arial" w:hAnsi="Arial" w:cs="Arial"/>
          <w:b/>
          <w:sz w:val="22"/>
          <w:szCs w:val="22"/>
          <w:u w:val="single"/>
        </w:rPr>
      </w:pPr>
    </w:p>
    <w:p w14:paraId="110284EA" w14:textId="77777777" w:rsidR="00832440" w:rsidRDefault="003D715A">
      <w:pPr>
        <w:numPr>
          <w:ilvl w:val="0"/>
          <w:numId w:val="8"/>
        </w:numPr>
        <w:ind w:left="0" w:hanging="426"/>
        <w:jc w:val="both"/>
        <w:rPr>
          <w:rFonts w:ascii="Arial" w:hAnsi="Arial" w:cs="Arial"/>
          <w:iCs/>
          <w:sz w:val="22"/>
          <w:szCs w:val="22"/>
        </w:rPr>
      </w:pPr>
      <w:r>
        <w:rPr>
          <w:rFonts w:ascii="Arial" w:hAnsi="Arial" w:cs="Arial"/>
          <w:sz w:val="22"/>
          <w:szCs w:val="22"/>
        </w:rPr>
        <w:t xml:space="preserve">Svoz objemného odpadu je zajišťován </w:t>
      </w:r>
      <w:r>
        <w:rPr>
          <w:rFonts w:ascii="Arial" w:hAnsi="Arial" w:cs="Arial"/>
          <w:iCs/>
          <w:sz w:val="22"/>
          <w:szCs w:val="22"/>
        </w:rPr>
        <w:t>dvakrát ročně</w:t>
      </w:r>
      <w:r>
        <w:rPr>
          <w:rFonts w:ascii="Arial" w:hAnsi="Arial" w:cs="Arial"/>
          <w:sz w:val="22"/>
          <w:szCs w:val="22"/>
        </w:rPr>
        <w:t xml:space="preserve"> jeho odebíráním na předem vyhlášených přechodných stanovištích přímo do zvláštních sběrných nádob k tomuto účelu určených. Informace o svozu jsou zveřejňovány</w:t>
      </w:r>
      <w:r>
        <w:rPr>
          <w:rFonts w:ascii="Arial" w:hAnsi="Arial" w:cs="Arial"/>
          <w:iCs/>
          <w:sz w:val="22"/>
          <w:szCs w:val="22"/>
        </w:rPr>
        <w:t xml:space="preserve"> na webových stránkách obce,</w:t>
      </w:r>
      <w:r>
        <w:rPr>
          <w:rFonts w:ascii="Arial" w:hAnsi="Arial" w:cs="Arial"/>
          <w:sz w:val="22"/>
          <w:szCs w:val="22"/>
        </w:rPr>
        <w:t xml:space="preserve"> m</w:t>
      </w:r>
      <w:r>
        <w:rPr>
          <w:rFonts w:ascii="Arial" w:hAnsi="Arial" w:cs="Arial"/>
          <w:iCs/>
          <w:sz w:val="22"/>
          <w:szCs w:val="22"/>
        </w:rPr>
        <w:t>ístním tisku, v místním rozhlase.</w:t>
      </w:r>
    </w:p>
    <w:p w14:paraId="28B1B9D6" w14:textId="77777777" w:rsidR="00832440" w:rsidRDefault="00832440">
      <w:pPr>
        <w:ind w:left="360" w:hanging="360"/>
        <w:jc w:val="both"/>
        <w:rPr>
          <w:rFonts w:ascii="Arial" w:hAnsi="Arial" w:cs="Arial"/>
          <w:i/>
          <w:iCs/>
          <w:sz w:val="22"/>
          <w:szCs w:val="22"/>
        </w:rPr>
      </w:pPr>
    </w:p>
    <w:p w14:paraId="4532FC64" w14:textId="77777777" w:rsidR="00832440" w:rsidRDefault="00832440">
      <w:pPr>
        <w:pStyle w:val="NormlnIMP"/>
        <w:suppressAutoHyphens w:val="0"/>
        <w:overflowPunct/>
        <w:autoSpaceDE/>
        <w:spacing w:line="240" w:lineRule="auto"/>
        <w:ind w:left="360" w:hanging="360"/>
        <w:textAlignment w:val="auto"/>
        <w:rPr>
          <w:rFonts w:ascii="Arial" w:hAnsi="Arial" w:cs="Arial"/>
          <w:i/>
          <w:iCs/>
          <w:sz w:val="22"/>
          <w:szCs w:val="22"/>
        </w:rPr>
      </w:pPr>
    </w:p>
    <w:p w14:paraId="50096444" w14:textId="77777777" w:rsidR="00832440" w:rsidRDefault="003D715A">
      <w:pPr>
        <w:numPr>
          <w:ilvl w:val="0"/>
          <w:numId w:val="8"/>
        </w:numPr>
        <w:ind w:left="0" w:hanging="426"/>
        <w:jc w:val="both"/>
      </w:pPr>
      <w:r>
        <w:rPr>
          <w:rFonts w:ascii="Arial" w:hAnsi="Arial" w:cs="Arial"/>
          <w:sz w:val="22"/>
          <w:szCs w:val="22"/>
        </w:rPr>
        <w:t xml:space="preserve">Soustřeďování objemného odpadu podléhá požadavkům stanoveným v čl. 3 odst. 5 a 6. </w:t>
      </w:r>
    </w:p>
    <w:p w14:paraId="135859AD" w14:textId="77777777" w:rsidR="00832440" w:rsidRDefault="00832440">
      <w:pPr>
        <w:ind w:left="360" w:hanging="360"/>
        <w:rPr>
          <w:rFonts w:ascii="Arial" w:hAnsi="Arial" w:cs="Arial"/>
          <w:b/>
          <w:sz w:val="22"/>
          <w:szCs w:val="22"/>
        </w:rPr>
      </w:pPr>
    </w:p>
    <w:p w14:paraId="3F74F493" w14:textId="77777777" w:rsidR="00832440" w:rsidRDefault="003D715A">
      <w:pPr>
        <w:ind w:left="360" w:hanging="360"/>
        <w:jc w:val="center"/>
        <w:rPr>
          <w:rFonts w:ascii="Arial" w:hAnsi="Arial" w:cs="Arial"/>
          <w:b/>
          <w:sz w:val="22"/>
          <w:szCs w:val="22"/>
        </w:rPr>
      </w:pPr>
      <w:r>
        <w:rPr>
          <w:rFonts w:ascii="Arial" w:hAnsi="Arial" w:cs="Arial"/>
          <w:b/>
          <w:sz w:val="22"/>
          <w:szCs w:val="22"/>
        </w:rPr>
        <w:t>Čl. 6</w:t>
      </w:r>
    </w:p>
    <w:p w14:paraId="04D7841F" w14:textId="77777777" w:rsidR="00832440" w:rsidRDefault="003D715A">
      <w:pPr>
        <w:ind w:left="360" w:hanging="360"/>
        <w:jc w:val="center"/>
      </w:pPr>
      <w:r>
        <w:rPr>
          <w:rFonts w:ascii="Arial" w:hAnsi="Arial" w:cs="Arial"/>
          <w:b/>
          <w:sz w:val="22"/>
          <w:szCs w:val="22"/>
        </w:rPr>
        <w:t xml:space="preserve">Soustřeďování směsného komunálního odpadu </w:t>
      </w:r>
    </w:p>
    <w:p w14:paraId="5AF44F22" w14:textId="77777777" w:rsidR="00832440" w:rsidRDefault="00832440">
      <w:pPr>
        <w:ind w:left="360" w:hanging="360"/>
        <w:jc w:val="center"/>
        <w:rPr>
          <w:rFonts w:ascii="Arial" w:hAnsi="Arial" w:cs="Arial"/>
          <w:b/>
          <w:sz w:val="22"/>
          <w:szCs w:val="22"/>
        </w:rPr>
      </w:pPr>
    </w:p>
    <w:p w14:paraId="698CBC31" w14:textId="77777777" w:rsidR="00832440" w:rsidRDefault="003D715A">
      <w:pPr>
        <w:pStyle w:val="Odstavecseseznamem"/>
        <w:numPr>
          <w:ilvl w:val="0"/>
          <w:numId w:val="10"/>
        </w:numPr>
        <w:ind w:left="0" w:hanging="426"/>
        <w:contextualSpacing w:val="0"/>
        <w:jc w:val="both"/>
      </w:pPr>
      <w:r>
        <w:rPr>
          <w:rFonts w:ascii="Arial" w:hAnsi="Arial" w:cs="Arial"/>
        </w:rPr>
        <w:t xml:space="preserve">Směsný odpad se shromažďuje do sběrných nádob. V souladu s touto vyhláškou jsou sběrnými nádobami </w:t>
      </w:r>
      <w:r>
        <w:rPr>
          <w:rFonts w:ascii="Arial" w:hAnsi="Arial" w:cs="Arial"/>
          <w:bCs/>
        </w:rPr>
        <w:t>typizované sběrné</w:t>
      </w:r>
      <w:r>
        <w:rPr>
          <w:rFonts w:ascii="Arial" w:hAnsi="Arial" w:cs="Arial"/>
        </w:rPr>
        <w:t xml:space="preserve"> nádoby o objemu </w:t>
      </w:r>
      <w:proofErr w:type="gramStart"/>
      <w:r>
        <w:rPr>
          <w:rFonts w:ascii="Arial" w:hAnsi="Arial" w:cs="Arial"/>
        </w:rPr>
        <w:t>110l</w:t>
      </w:r>
      <w:proofErr w:type="gramEnd"/>
      <w:r>
        <w:rPr>
          <w:rFonts w:ascii="Arial" w:hAnsi="Arial" w:cs="Arial"/>
        </w:rPr>
        <w:t xml:space="preserve">, 120l, 240l a 1100l - </w:t>
      </w:r>
      <w:r>
        <w:rPr>
          <w:rFonts w:ascii="Arial" w:hAnsi="Arial" w:cs="Arial"/>
          <w:iCs/>
        </w:rPr>
        <w:t xml:space="preserve">popelnice nebo kontejnery </w:t>
      </w:r>
      <w:r>
        <w:rPr>
          <w:rFonts w:ascii="Arial" w:hAnsi="Arial" w:cs="Arial"/>
        </w:rPr>
        <w:t>určené ke shromažďování směsného komunálního odpadu, označené na viditelném místě vnějšího obalu sběrné nádoby nálepkou společnosti EKOLA České Libchavy, s.r.o., poskytnutou Obecním úřadem Horní Třešňovec.</w:t>
      </w:r>
    </w:p>
    <w:p w14:paraId="571C92C5" w14:textId="77777777" w:rsidR="00832440" w:rsidRDefault="003D715A">
      <w:pPr>
        <w:pStyle w:val="Odstavecseseznamem"/>
        <w:numPr>
          <w:ilvl w:val="0"/>
          <w:numId w:val="10"/>
        </w:numPr>
        <w:ind w:left="0" w:hanging="426"/>
        <w:contextualSpacing w:val="0"/>
        <w:jc w:val="both"/>
      </w:pPr>
      <w:r>
        <w:rPr>
          <w:rFonts w:ascii="Arial" w:hAnsi="Arial" w:cs="Arial"/>
        </w:rPr>
        <w:t>Stanoviště sběrných nádob jsou individuální nebo společná pro více uživatelů. Stanoviště sběrných nádob je místo, kde jsou sběrné nádoby trvale nebo přechodně umístěny za účelem dalšího nakládání se směsným komunálním odpadem oprávněnou osobou. Stanoviště sběrných nádob jsou podél svozové trasy vymezené v příloze č. 1.</w:t>
      </w:r>
    </w:p>
    <w:p w14:paraId="7E3769C7" w14:textId="77777777" w:rsidR="00832440" w:rsidRDefault="003D715A">
      <w:pPr>
        <w:numPr>
          <w:ilvl w:val="0"/>
          <w:numId w:val="10"/>
        </w:numPr>
        <w:ind w:left="0" w:hanging="426"/>
        <w:jc w:val="both"/>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5 a 6. </w:t>
      </w:r>
    </w:p>
    <w:p w14:paraId="2EE1EBCF" w14:textId="77777777" w:rsidR="00832440" w:rsidRDefault="00832440">
      <w:pPr>
        <w:jc w:val="both"/>
        <w:rPr>
          <w:rFonts w:ascii="Arial" w:hAnsi="Arial" w:cs="Arial"/>
          <w:sz w:val="22"/>
          <w:szCs w:val="22"/>
        </w:rPr>
      </w:pPr>
    </w:p>
    <w:p w14:paraId="2C20290F" w14:textId="77777777" w:rsidR="00832440" w:rsidRDefault="003D715A">
      <w:pPr>
        <w:jc w:val="center"/>
        <w:rPr>
          <w:rFonts w:ascii="Arial" w:hAnsi="Arial" w:cs="Arial"/>
          <w:b/>
          <w:sz w:val="22"/>
          <w:szCs w:val="22"/>
        </w:rPr>
      </w:pPr>
      <w:r>
        <w:rPr>
          <w:rFonts w:ascii="Arial" w:hAnsi="Arial" w:cs="Arial"/>
          <w:b/>
          <w:sz w:val="22"/>
          <w:szCs w:val="22"/>
        </w:rPr>
        <w:t>Čl. 7</w:t>
      </w:r>
    </w:p>
    <w:p w14:paraId="68D3FB84" w14:textId="77777777" w:rsidR="00832440" w:rsidRDefault="003D715A">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2764D357" w14:textId="77777777" w:rsidR="00832440" w:rsidRDefault="00832440">
      <w:pPr>
        <w:rPr>
          <w:rFonts w:ascii="Arial" w:hAnsi="Arial" w:cs="Arial"/>
          <w:b/>
          <w:bCs/>
          <w:sz w:val="22"/>
          <w:szCs w:val="22"/>
        </w:rPr>
      </w:pPr>
    </w:p>
    <w:p w14:paraId="620C8905" w14:textId="77777777" w:rsidR="00832440" w:rsidRDefault="003D715A">
      <w:pPr>
        <w:numPr>
          <w:ilvl w:val="0"/>
          <w:numId w:val="12"/>
        </w:numPr>
        <w:ind w:left="0" w:hanging="426"/>
        <w:jc w:val="both"/>
        <w:rPr>
          <w:rFonts w:ascii="Arial" w:hAnsi="Arial" w:cs="Arial"/>
          <w:sz w:val="22"/>
          <w:szCs w:val="22"/>
        </w:rPr>
      </w:pPr>
      <w:r>
        <w:rPr>
          <w:rFonts w:ascii="Arial" w:hAnsi="Arial" w:cs="Arial"/>
          <w:sz w:val="22"/>
          <w:szCs w:val="22"/>
        </w:rPr>
        <w:t xml:space="preserve">Obec v rámci předcházení vzniku odpadu za </w:t>
      </w:r>
      <w:r>
        <w:rPr>
          <w:rFonts w:ascii="Arial" w:hAnsi="Arial" w:cs="Arial"/>
          <w:sz w:val="22"/>
          <w:szCs w:val="22"/>
        </w:rPr>
        <w:t>účelem jejich opětovného použití nakládá s oděvy a textilem.</w:t>
      </w:r>
    </w:p>
    <w:p w14:paraId="15F16B8C" w14:textId="77777777" w:rsidR="00832440" w:rsidRDefault="003D715A">
      <w:pPr>
        <w:numPr>
          <w:ilvl w:val="0"/>
          <w:numId w:val="12"/>
        </w:numPr>
        <w:ind w:left="0" w:hanging="426"/>
        <w:jc w:val="both"/>
      </w:pPr>
      <w:r>
        <w:rPr>
          <w:rFonts w:ascii="Arial" w:hAnsi="Arial" w:cs="Arial"/>
          <w:sz w:val="22"/>
          <w:szCs w:val="22"/>
        </w:rPr>
        <w:t xml:space="preserve">Movité věci uvedené v odst. 1 lze předávat do sběrných nádob bílé barvy, umístěných na stanovištích, uvedených na webových stránkách obce. Movitá věc musí být předána v takovém stavu, aby bylo možné její opětovné použití. </w:t>
      </w:r>
    </w:p>
    <w:p w14:paraId="69B78E75" w14:textId="77777777" w:rsidR="00832440" w:rsidRDefault="00832440">
      <w:pPr>
        <w:jc w:val="center"/>
        <w:rPr>
          <w:rFonts w:ascii="Arial" w:hAnsi="Arial" w:cs="Arial"/>
          <w:b/>
          <w:sz w:val="22"/>
          <w:szCs w:val="22"/>
        </w:rPr>
      </w:pPr>
    </w:p>
    <w:p w14:paraId="41E10BF9" w14:textId="77777777" w:rsidR="00832440" w:rsidRDefault="003D715A">
      <w:pPr>
        <w:jc w:val="center"/>
        <w:rPr>
          <w:rFonts w:ascii="Arial" w:hAnsi="Arial" w:cs="Arial"/>
          <w:b/>
          <w:sz w:val="22"/>
          <w:szCs w:val="22"/>
        </w:rPr>
      </w:pPr>
      <w:r>
        <w:rPr>
          <w:rFonts w:ascii="Arial" w:hAnsi="Arial" w:cs="Arial"/>
          <w:b/>
          <w:sz w:val="22"/>
          <w:szCs w:val="22"/>
        </w:rPr>
        <w:t>Čl. 8</w:t>
      </w:r>
    </w:p>
    <w:p w14:paraId="719537C1" w14:textId="77777777" w:rsidR="00832440" w:rsidRDefault="003D715A">
      <w:pPr>
        <w:jc w:val="center"/>
        <w:rPr>
          <w:rFonts w:ascii="Arial" w:hAnsi="Arial" w:cs="Arial"/>
          <w:b/>
          <w:sz w:val="22"/>
          <w:szCs w:val="22"/>
        </w:rPr>
      </w:pPr>
      <w:r>
        <w:rPr>
          <w:rFonts w:ascii="Arial" w:hAnsi="Arial" w:cs="Arial"/>
          <w:b/>
          <w:sz w:val="22"/>
          <w:szCs w:val="22"/>
        </w:rPr>
        <w:lastRenderedPageBreak/>
        <w:t>Závěrečná ustanovení</w:t>
      </w:r>
    </w:p>
    <w:p w14:paraId="0488E153" w14:textId="77777777" w:rsidR="00832440" w:rsidRDefault="00832440">
      <w:pPr>
        <w:ind w:left="360"/>
        <w:jc w:val="center"/>
        <w:rPr>
          <w:rFonts w:ascii="Arial" w:hAnsi="Arial" w:cs="Arial"/>
          <w:b/>
          <w:sz w:val="22"/>
          <w:szCs w:val="22"/>
          <w:u w:val="single"/>
        </w:rPr>
      </w:pPr>
    </w:p>
    <w:p w14:paraId="1238EA86" w14:textId="77777777" w:rsidR="00832440" w:rsidRDefault="003D715A">
      <w:pPr>
        <w:numPr>
          <w:ilvl w:val="0"/>
          <w:numId w:val="5"/>
        </w:numPr>
        <w:ind w:left="0" w:hanging="426"/>
        <w:jc w:val="both"/>
      </w:pPr>
      <w:r>
        <w:rPr>
          <w:rFonts w:ascii="Arial" w:hAnsi="Arial" w:cs="Arial"/>
          <w:sz w:val="22"/>
          <w:szCs w:val="22"/>
        </w:rPr>
        <w:t xml:space="preserve">Nabytím účinnosti této vyhlášky se zrušuje obecně závazná vyhláška obce </w:t>
      </w:r>
      <w:r>
        <w:rPr>
          <w:rFonts w:ascii="Arial" w:hAnsi="Arial" w:cs="Arial"/>
          <w:sz w:val="22"/>
          <w:szCs w:val="22"/>
        </w:rPr>
        <w:br/>
        <w:t xml:space="preserve">č. 1/2021, o stanovení systému shromažďování, sběru, přepravy, třídění, využívání a odstraňování komunálních odpadů a nakládání se stavebním odpadem na území obce Horní Třešňovec), ze dne 24. 11. 2021. </w:t>
      </w:r>
    </w:p>
    <w:p w14:paraId="2C89C117" w14:textId="77777777" w:rsidR="00832440" w:rsidRDefault="00832440">
      <w:pPr>
        <w:jc w:val="both"/>
        <w:rPr>
          <w:rFonts w:ascii="Arial" w:hAnsi="Arial" w:cs="Arial"/>
          <w:sz w:val="22"/>
          <w:szCs w:val="22"/>
        </w:rPr>
      </w:pPr>
    </w:p>
    <w:p w14:paraId="3BC161DA" w14:textId="77777777" w:rsidR="00832440" w:rsidRDefault="00832440">
      <w:pPr>
        <w:jc w:val="both"/>
        <w:rPr>
          <w:rFonts w:ascii="Arial" w:hAnsi="Arial" w:cs="Arial"/>
          <w:sz w:val="22"/>
          <w:szCs w:val="22"/>
        </w:rPr>
      </w:pPr>
    </w:p>
    <w:p w14:paraId="04D3C184" w14:textId="77777777" w:rsidR="00832440" w:rsidRDefault="003D715A">
      <w:pPr>
        <w:numPr>
          <w:ilvl w:val="0"/>
          <w:numId w:val="5"/>
        </w:numPr>
        <w:ind w:left="0" w:hanging="426"/>
        <w:jc w:val="both"/>
        <w:rPr>
          <w:rFonts w:ascii="Arial" w:hAnsi="Arial" w:cs="Arial"/>
          <w:sz w:val="22"/>
          <w:szCs w:val="22"/>
        </w:rPr>
      </w:pPr>
      <w:r>
        <w:rPr>
          <w:rFonts w:ascii="Arial" w:hAnsi="Arial" w:cs="Arial"/>
          <w:sz w:val="22"/>
          <w:szCs w:val="22"/>
        </w:rPr>
        <w:t>Tato vyhláška nabývá účinnosti dnem 1. ledna 2025.</w:t>
      </w:r>
    </w:p>
    <w:p w14:paraId="4AB385D9" w14:textId="77777777" w:rsidR="00832440" w:rsidRDefault="00832440">
      <w:pPr>
        <w:tabs>
          <w:tab w:val="left" w:pos="540"/>
        </w:tabs>
        <w:ind w:left="540"/>
        <w:jc w:val="both"/>
        <w:rPr>
          <w:rFonts w:ascii="Arial" w:hAnsi="Arial" w:cs="Arial"/>
          <w:sz w:val="22"/>
          <w:szCs w:val="22"/>
        </w:rPr>
      </w:pPr>
    </w:p>
    <w:p w14:paraId="6422A5B4" w14:textId="77777777" w:rsidR="00832440" w:rsidRDefault="00832440">
      <w:pPr>
        <w:tabs>
          <w:tab w:val="left" w:pos="540"/>
        </w:tabs>
        <w:ind w:left="540"/>
        <w:jc w:val="both"/>
        <w:rPr>
          <w:rFonts w:ascii="Arial" w:hAnsi="Arial" w:cs="Arial"/>
          <w:sz w:val="22"/>
          <w:szCs w:val="22"/>
        </w:rPr>
      </w:pPr>
    </w:p>
    <w:p w14:paraId="203BDC5C" w14:textId="77777777" w:rsidR="00832440" w:rsidRDefault="00832440">
      <w:pPr>
        <w:tabs>
          <w:tab w:val="left" w:pos="540"/>
        </w:tabs>
        <w:ind w:left="540"/>
        <w:jc w:val="both"/>
        <w:rPr>
          <w:rFonts w:ascii="Arial" w:hAnsi="Arial" w:cs="Arial"/>
          <w:sz w:val="22"/>
          <w:szCs w:val="22"/>
        </w:rPr>
      </w:pPr>
    </w:p>
    <w:p w14:paraId="33817377" w14:textId="77777777" w:rsidR="00832440" w:rsidRDefault="00832440">
      <w:pPr>
        <w:tabs>
          <w:tab w:val="left" w:pos="540"/>
        </w:tabs>
        <w:ind w:left="540"/>
        <w:jc w:val="both"/>
        <w:rPr>
          <w:rFonts w:ascii="Arial" w:hAnsi="Arial" w:cs="Arial"/>
          <w:sz w:val="22"/>
          <w:szCs w:val="22"/>
        </w:rPr>
      </w:pPr>
    </w:p>
    <w:p w14:paraId="08375EFF" w14:textId="77777777" w:rsidR="00832440" w:rsidRDefault="00832440">
      <w:pPr>
        <w:tabs>
          <w:tab w:val="left" w:pos="540"/>
        </w:tabs>
        <w:ind w:left="540"/>
        <w:jc w:val="both"/>
        <w:rPr>
          <w:rFonts w:ascii="Arial" w:hAnsi="Arial" w:cs="Arial"/>
          <w:sz w:val="22"/>
          <w:szCs w:val="22"/>
        </w:rPr>
      </w:pPr>
    </w:p>
    <w:p w14:paraId="4F440A0B" w14:textId="77777777" w:rsidR="00832440" w:rsidRDefault="00832440">
      <w:pPr>
        <w:tabs>
          <w:tab w:val="left" w:pos="540"/>
        </w:tabs>
        <w:ind w:left="540"/>
        <w:jc w:val="both"/>
        <w:rPr>
          <w:rFonts w:ascii="Arial" w:hAnsi="Arial" w:cs="Arial"/>
          <w:sz w:val="22"/>
          <w:szCs w:val="22"/>
        </w:rPr>
      </w:pPr>
    </w:p>
    <w:p w14:paraId="004224B0" w14:textId="77777777" w:rsidR="00832440" w:rsidRDefault="003D715A">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04861B81" w14:textId="77777777" w:rsidR="00832440" w:rsidRDefault="003D715A">
      <w:pPr>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14:paraId="27D9D3BF" w14:textId="77777777" w:rsidR="00832440" w:rsidRDefault="003D715A">
      <w:pPr>
        <w:ind w:hanging="142"/>
        <w:rPr>
          <w:rFonts w:ascii="Arial" w:hAnsi="Arial" w:cs="Arial"/>
          <w:bCs/>
          <w:sz w:val="22"/>
          <w:szCs w:val="22"/>
        </w:rPr>
      </w:pPr>
      <w:r>
        <w:rPr>
          <w:rFonts w:ascii="Arial" w:hAnsi="Arial" w:cs="Arial"/>
          <w:bCs/>
          <w:sz w:val="22"/>
          <w:szCs w:val="22"/>
        </w:rPr>
        <w:t>PaedDr. Lenka Marková v. 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Jan Dušek v. r.</w:t>
      </w:r>
    </w:p>
    <w:p w14:paraId="6A9D0ADB" w14:textId="77777777" w:rsidR="00832440" w:rsidRDefault="003D715A">
      <w:pPr>
        <w:rPr>
          <w:rFonts w:ascii="Arial" w:hAnsi="Arial" w:cs="Arial"/>
          <w:bCs/>
          <w:sz w:val="22"/>
          <w:szCs w:val="22"/>
        </w:rPr>
      </w:pPr>
      <w:r>
        <w:rPr>
          <w:rFonts w:ascii="Arial" w:hAnsi="Arial" w:cs="Arial"/>
          <w:bCs/>
          <w:sz w:val="22"/>
          <w:szCs w:val="22"/>
        </w:rPr>
        <w:t>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starosta</w:t>
      </w:r>
    </w:p>
    <w:p w14:paraId="25B65D9F" w14:textId="77777777" w:rsidR="00832440" w:rsidRDefault="00832440">
      <w:pPr>
        <w:rPr>
          <w:rFonts w:ascii="Arial" w:hAnsi="Arial" w:cs="Arial"/>
          <w:bCs/>
          <w:sz w:val="22"/>
          <w:szCs w:val="22"/>
        </w:rPr>
      </w:pPr>
    </w:p>
    <w:p w14:paraId="603267B0" w14:textId="77777777" w:rsidR="00832440" w:rsidRDefault="00832440">
      <w:pPr>
        <w:rPr>
          <w:rFonts w:ascii="Arial" w:hAnsi="Arial" w:cs="Arial"/>
          <w:sz w:val="22"/>
          <w:szCs w:val="22"/>
        </w:rPr>
      </w:pPr>
    </w:p>
    <w:p w14:paraId="08C0BD5B" w14:textId="77777777" w:rsidR="00832440" w:rsidRDefault="00832440">
      <w:pPr>
        <w:rPr>
          <w:rFonts w:ascii="Arial" w:hAnsi="Arial" w:cs="Arial"/>
          <w:sz w:val="22"/>
          <w:szCs w:val="22"/>
        </w:rPr>
      </w:pPr>
    </w:p>
    <w:sectPr w:rsidR="00832440">
      <w:footerReference w:type="default" r:id="rId8"/>
      <w:pgSz w:w="11906" w:h="16838"/>
      <w:pgMar w:top="1418" w:right="1418" w:bottom="1985"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1D3AF" w14:textId="77777777" w:rsidR="003D715A" w:rsidRDefault="003D715A">
      <w:r>
        <w:separator/>
      </w:r>
    </w:p>
  </w:endnote>
  <w:endnote w:type="continuationSeparator" w:id="0">
    <w:p w14:paraId="0971494A" w14:textId="77777777" w:rsidR="003D715A" w:rsidRDefault="003D7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DejaVu Sans">
    <w:panose1 w:val="020B0603030804020204"/>
    <w:charset w:val="EE"/>
    <w:family w:val="swiss"/>
    <w:pitch w:val="variable"/>
    <w:sig w:usb0="E7002EFF" w:usb1="D200FDFF" w:usb2="0A246029" w:usb3="00000000" w:csb0="000001FF" w:csb1="00000000"/>
  </w:font>
  <w:font w:name="Lohit Devanagari">
    <w:altName w:val="Cambria"/>
    <w:panose1 w:val="00000000000000000000"/>
    <w:charset w:val="00"/>
    <w:family w:val="roman"/>
    <w:notTrueType/>
    <w:pitch w:val="default"/>
  </w:font>
  <w:font w:name="Liberation Sans">
    <w:altName w:val="Arial"/>
    <w:panose1 w:val="020B0604020202020204"/>
    <w:charset w:val="01"/>
    <w:family w:val="swiss"/>
    <w:pitch w:val="variable"/>
    <w:sig w:usb0="E0000AFF" w:usb1="500078FF" w:usb2="00000021" w:usb3="00000000" w:csb0="000001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42ACD" w14:textId="77777777" w:rsidR="00832440" w:rsidRDefault="003D715A">
    <w:pPr>
      <w:pStyle w:val="Zpat"/>
      <w:jc w:val="center"/>
    </w:pPr>
    <w:r>
      <w:fldChar w:fldCharType="begin"/>
    </w:r>
    <w:r>
      <w:instrText>PAGE</w:instrText>
    </w:r>
    <w:r>
      <w:fldChar w:fldCharType="separate"/>
    </w:r>
    <w:r>
      <w:t>4</w:t>
    </w:r>
    <w:r>
      <w:fldChar w:fldCharType="end"/>
    </w:r>
  </w:p>
  <w:p w14:paraId="2CBAF462" w14:textId="77777777" w:rsidR="00832440" w:rsidRDefault="008324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FBB44" w14:textId="77777777" w:rsidR="00832440" w:rsidRDefault="003D715A">
      <w:pPr>
        <w:rPr>
          <w:sz w:val="12"/>
        </w:rPr>
      </w:pPr>
      <w:r>
        <w:separator/>
      </w:r>
    </w:p>
  </w:footnote>
  <w:footnote w:type="continuationSeparator" w:id="0">
    <w:p w14:paraId="2104AF58" w14:textId="77777777" w:rsidR="00832440" w:rsidRDefault="003D715A">
      <w:pPr>
        <w:rPr>
          <w:sz w:val="12"/>
        </w:rPr>
      </w:pPr>
      <w:r>
        <w:continuationSeparator/>
      </w:r>
    </w:p>
  </w:footnote>
  <w:footnote w:id="1">
    <w:p w14:paraId="5B7E61D6" w14:textId="77777777" w:rsidR="00832440" w:rsidRDefault="003D715A">
      <w:pPr>
        <w:pStyle w:val="Textpoznpodarou"/>
      </w:pPr>
      <w:r>
        <w:rPr>
          <w:rStyle w:val="FootnoteCharacters"/>
        </w:rPr>
        <w:footnoteRef/>
      </w:r>
      <w:r>
        <w:rPr>
          <w:rFonts w:ascii="Arial" w:hAnsi="Arial" w:cs="Arial"/>
        </w:rPr>
        <w:t xml:space="preserve"> § 61 </w:t>
      </w:r>
      <w:proofErr w:type="spellStart"/>
      <w:r>
        <w:rPr>
          <w:rFonts w:ascii="Arial" w:hAnsi="Arial" w:cs="Arial"/>
        </w:rPr>
        <w:t>zákona</w:t>
      </w:r>
      <w:proofErr w:type="spellEnd"/>
      <w:r>
        <w:rPr>
          <w:rFonts w:ascii="Arial" w:hAnsi="Arial" w:cs="Arial"/>
        </w:rPr>
        <w:t xml:space="preserve"> o </w:t>
      </w:r>
      <w:proofErr w:type="spellStart"/>
      <w:r>
        <w:rPr>
          <w:rFonts w:ascii="Arial" w:hAnsi="Arial" w:cs="Arial"/>
        </w:rPr>
        <w:t>odpadech</w:t>
      </w:r>
      <w:proofErr w:type="spellEnd"/>
    </w:p>
  </w:footnote>
  <w:footnote w:id="2">
    <w:p w14:paraId="1A7C3625" w14:textId="77777777" w:rsidR="00832440" w:rsidRDefault="003D715A">
      <w:pPr>
        <w:pStyle w:val="Textpoznpodarou"/>
      </w:pPr>
      <w:r>
        <w:rPr>
          <w:rStyle w:val="FootnoteCharacters"/>
        </w:rPr>
        <w:footnoteRef/>
      </w:r>
      <w:r>
        <w:rPr>
          <w:rFonts w:ascii="Arial" w:hAnsi="Arial" w:cs="Arial"/>
        </w:rPr>
        <w:t xml:space="preserve"> § 60 </w:t>
      </w:r>
      <w:proofErr w:type="spellStart"/>
      <w:r>
        <w:rPr>
          <w:rFonts w:ascii="Arial" w:hAnsi="Arial" w:cs="Arial"/>
        </w:rPr>
        <w:t>zákona</w:t>
      </w:r>
      <w:proofErr w:type="spellEnd"/>
      <w:r>
        <w:rPr>
          <w:rFonts w:ascii="Arial" w:hAnsi="Arial" w:cs="Arial"/>
        </w:rPr>
        <w:t xml:space="preserve"> o </w:t>
      </w:r>
      <w:proofErr w:type="spellStart"/>
      <w:r>
        <w:rPr>
          <w:rFonts w:ascii="Arial" w:hAnsi="Arial" w:cs="Arial"/>
        </w:rPr>
        <w:t>odpadech</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73872"/>
    <w:multiLevelType w:val="multilevel"/>
    <w:tmpl w:val="3C3AF560"/>
    <w:lvl w:ilvl="0">
      <w:start w:val="1"/>
      <w:numFmt w:val="decimal"/>
      <w:lvlText w:val="(%1)"/>
      <w:lvlJc w:val="left"/>
      <w:pPr>
        <w:tabs>
          <w:tab w:val="num" w:pos="0"/>
        </w:tabs>
        <w:ind w:left="720" w:hanging="360"/>
      </w:pPr>
      <w:rPr>
        <w:rFonts w:ascii="Arial" w:hAnsi="Arial" w:cs="Arial"/>
        <w:strike w:val="0"/>
        <w:dstrike w:val="0"/>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75D0F"/>
    <w:multiLevelType w:val="multilevel"/>
    <w:tmpl w:val="BA4CA376"/>
    <w:lvl w:ilvl="0">
      <w:start w:val="1"/>
      <w:numFmt w:val="decimal"/>
      <w:lvlText w:val="(%1)"/>
      <w:lvlJc w:val="left"/>
      <w:pPr>
        <w:tabs>
          <w:tab w:val="num" w:pos="0"/>
        </w:tabs>
        <w:ind w:left="360" w:hanging="360"/>
      </w:pPr>
      <w:rPr>
        <w:rFonts w:ascii="Arial" w:hAnsi="Arial" w:cs="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3A5826"/>
    <w:multiLevelType w:val="multilevel"/>
    <w:tmpl w:val="E1A86840"/>
    <w:lvl w:ilvl="0">
      <w:start w:val="1"/>
      <w:numFmt w:val="decimal"/>
      <w:lvlText w:val="(%1)"/>
      <w:lvlJc w:val="left"/>
      <w:pPr>
        <w:tabs>
          <w:tab w:val="num" w:pos="360"/>
        </w:tabs>
        <w:ind w:left="360" w:hanging="360"/>
      </w:pPr>
      <w:rPr>
        <w:rFonts w:ascii="Arial" w:hAnsi="Arial" w:cs="Arial"/>
        <w:iCs/>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636330"/>
    <w:multiLevelType w:val="multilevel"/>
    <w:tmpl w:val="EC7E603E"/>
    <w:lvl w:ilvl="0">
      <w:start w:val="1"/>
      <w:numFmt w:val="decimal"/>
      <w:lvlText w:val="(%1)"/>
      <w:lvlJc w:val="left"/>
      <w:pPr>
        <w:tabs>
          <w:tab w:val="num" w:pos="360"/>
        </w:tabs>
        <w:ind w:left="360" w:hanging="360"/>
      </w:pPr>
      <w:rPr>
        <w:rFonts w:ascii="Arial" w:hAnsi="Arial" w:cs="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413D19"/>
    <w:multiLevelType w:val="multilevel"/>
    <w:tmpl w:val="53B6DB2E"/>
    <w:lvl w:ilvl="0">
      <w:start w:val="1"/>
      <w:numFmt w:val="lowerLetter"/>
      <w:lvlText w:val="%1)"/>
      <w:lvlJc w:val="left"/>
      <w:pPr>
        <w:tabs>
          <w:tab w:val="num" w:pos="0"/>
        </w:tabs>
        <w:ind w:left="786" w:hanging="360"/>
      </w:pPr>
      <w:rPr>
        <w:rFonts w:ascii="Arial" w:eastAsia="Times New Roman" w:hAnsi="Arial" w:cs="Times New Roman"/>
        <w:bCs/>
        <w:i/>
        <w:iCs/>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63213D"/>
    <w:multiLevelType w:val="multilevel"/>
    <w:tmpl w:val="CA7A6472"/>
    <w:lvl w:ilvl="0">
      <w:start w:val="1"/>
      <w:numFmt w:val="decimal"/>
      <w:lvlText w:val="(%1)"/>
      <w:lvlJc w:val="left"/>
      <w:pPr>
        <w:tabs>
          <w:tab w:val="num" w:pos="0"/>
        </w:tabs>
        <w:ind w:left="360" w:hanging="360"/>
      </w:pPr>
      <w:rPr>
        <w:rFonts w:ascii="Arial" w:hAnsi="Arial" w:cs="Arial"/>
        <w:b w:val="0"/>
        <w:bCs/>
        <w:color w:val="00000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0C32E4"/>
    <w:multiLevelType w:val="multilevel"/>
    <w:tmpl w:val="18BAF3E8"/>
    <w:lvl w:ilvl="0">
      <w:start w:val="1"/>
      <w:numFmt w:val="decimal"/>
      <w:lvlText w:val="(%1)"/>
      <w:lvlJc w:val="left"/>
      <w:pPr>
        <w:tabs>
          <w:tab w:val="num" w:pos="0"/>
        </w:tabs>
        <w:ind w:left="360" w:hanging="360"/>
      </w:pPr>
      <w:rPr>
        <w:rFonts w:ascii="Arial" w:hAnsi="Arial" w:cs="Arial"/>
        <w:i w:val="0"/>
        <w:iCs/>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646903"/>
    <w:multiLevelType w:val="multilevel"/>
    <w:tmpl w:val="A600D496"/>
    <w:lvl w:ilvl="0">
      <w:start w:val="1"/>
      <w:numFmt w:val="decimal"/>
      <w:lvlText w:val="(%1)"/>
      <w:lvlJc w:val="left"/>
      <w:pPr>
        <w:tabs>
          <w:tab w:val="num" w:pos="360"/>
        </w:tabs>
        <w:ind w:left="360" w:hanging="360"/>
      </w:pPr>
      <w:rPr>
        <w:rFonts w:ascii="Arial" w:hAnsi="Arial" w:cs="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153D8D"/>
    <w:multiLevelType w:val="multilevel"/>
    <w:tmpl w:val="F0C8D086"/>
    <w:lvl w:ilvl="0">
      <w:start w:val="1"/>
      <w:numFmt w:val="bullet"/>
      <w:lvlText w:val="-"/>
      <w:lvlJc w:val="left"/>
      <w:pPr>
        <w:tabs>
          <w:tab w:val="num" w:pos="0"/>
        </w:tabs>
        <w:ind w:left="1068" w:hanging="360"/>
      </w:pPr>
      <w:rPr>
        <w:rFonts w:ascii="Arial" w:hAnsi="Arial" w:cs="Aria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26467E"/>
    <w:multiLevelType w:val="multilevel"/>
    <w:tmpl w:val="12B03A72"/>
    <w:lvl w:ilvl="0">
      <w:start w:val="1"/>
      <w:numFmt w:val="lowerLetter"/>
      <w:lvlText w:val="%1)"/>
      <w:lvlJc w:val="left"/>
      <w:pPr>
        <w:tabs>
          <w:tab w:val="num" w:pos="0"/>
        </w:tabs>
        <w:ind w:left="720" w:hanging="360"/>
      </w:pPr>
      <w:rPr>
        <w:rFonts w:ascii="Arial" w:hAnsi="Arial" w:cs="Arial"/>
        <w:i/>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995293"/>
    <w:multiLevelType w:val="multilevel"/>
    <w:tmpl w:val="14229D92"/>
    <w:lvl w:ilvl="0">
      <w:start w:val="1"/>
      <w:numFmt w:val="decimal"/>
      <w:lvlText w:val="(%1)"/>
      <w:lvlJc w:val="left"/>
      <w:pPr>
        <w:tabs>
          <w:tab w:val="num" w:pos="0"/>
        </w:tabs>
        <w:ind w:left="720" w:hanging="360"/>
      </w:pPr>
      <w:rPr>
        <w:rFonts w:ascii="Arial" w:hAnsi="Arial" w:cs="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7A3E56"/>
    <w:multiLevelType w:val="multilevel"/>
    <w:tmpl w:val="704C8C10"/>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57639600">
    <w:abstractNumId w:val="11"/>
  </w:num>
  <w:num w:numId="2" w16cid:durableId="1067413549">
    <w:abstractNumId w:val="8"/>
  </w:num>
  <w:num w:numId="3" w16cid:durableId="1601177242">
    <w:abstractNumId w:val="9"/>
  </w:num>
  <w:num w:numId="4" w16cid:durableId="1192382668">
    <w:abstractNumId w:val="5"/>
  </w:num>
  <w:num w:numId="5" w16cid:durableId="1160972604">
    <w:abstractNumId w:val="7"/>
  </w:num>
  <w:num w:numId="6" w16cid:durableId="102723826">
    <w:abstractNumId w:val="1"/>
  </w:num>
  <w:num w:numId="7" w16cid:durableId="1362634807">
    <w:abstractNumId w:val="10"/>
  </w:num>
  <w:num w:numId="8" w16cid:durableId="1686324621">
    <w:abstractNumId w:val="2"/>
  </w:num>
  <w:num w:numId="9" w16cid:durableId="598149568">
    <w:abstractNumId w:val="6"/>
  </w:num>
  <w:num w:numId="10" w16cid:durableId="1270352106">
    <w:abstractNumId w:val="0"/>
  </w:num>
  <w:num w:numId="11" w16cid:durableId="522979231">
    <w:abstractNumId w:val="4"/>
  </w:num>
  <w:num w:numId="12" w16cid:durableId="490172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440"/>
    <w:rsid w:val="003D715A"/>
    <w:rsid w:val="00832440"/>
    <w:rsid w:val="009339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22337"/>
  <w15:docId w15:val="{7229A4A5-9D19-4936-A78E-9F03B11A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val="cs-CZ" w:bidi="ar-SA"/>
    </w:rPr>
  </w:style>
  <w:style w:type="paragraph" w:styleId="Nadpis2">
    <w:name w:val="heading 2"/>
    <w:basedOn w:val="Normln"/>
    <w:next w:val="Normln"/>
    <w:uiPriority w:val="9"/>
    <w:unhideWhenUsed/>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rFonts w:ascii="Arial" w:hAnsi="Arial" w:cs="Arial"/>
      <w:sz w:val="22"/>
      <w:szCs w:val="22"/>
    </w:rPr>
  </w:style>
  <w:style w:type="character" w:customStyle="1" w:styleId="WW8Num2z0">
    <w:name w:val="WW8Num2z0"/>
    <w:qFormat/>
    <w:rPr>
      <w:rFonts w:ascii="Arial" w:hAnsi="Arial" w:cs="Arial"/>
      <w:i/>
      <w:sz w:val="22"/>
      <w:szCs w:val="22"/>
    </w:rPr>
  </w:style>
  <w:style w:type="character" w:customStyle="1" w:styleId="WW8Num3z0">
    <w:name w:val="WW8Num3z0"/>
    <w:qFormat/>
    <w:rPr>
      <w:b w:val="0"/>
      <w:u w:val="none"/>
    </w:rPr>
  </w:style>
  <w:style w:type="character" w:customStyle="1" w:styleId="WW8Num4z0">
    <w:name w:val="WW8Num4z0"/>
    <w:qFormat/>
    <w:rPr>
      <w:rFonts w:ascii="Arial" w:hAnsi="Arial" w:cs="Arial"/>
      <w:b w:val="0"/>
      <w:bCs/>
      <w:color w:val="000000"/>
      <w:sz w:val="22"/>
      <w:szCs w:val="22"/>
      <w:u w:val="none"/>
    </w:rPr>
  </w:style>
  <w:style w:type="character" w:customStyle="1" w:styleId="WW8Num5z0">
    <w:name w:val="WW8Num5z0"/>
    <w:qFormat/>
  </w:style>
  <w:style w:type="character" w:customStyle="1" w:styleId="WW8Num6z0">
    <w:name w:val="WW8Num6z0"/>
    <w:qFormat/>
  </w:style>
  <w:style w:type="character" w:customStyle="1" w:styleId="WW8Num7z0">
    <w:name w:val="WW8Num7z0"/>
    <w:qFormat/>
    <w:rPr>
      <w:color w:val="000000"/>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Arial" w:hAnsi="Arial" w:cs="Arial"/>
      <w:color w:val="000000"/>
      <w:sz w:val="22"/>
      <w:szCs w:val="22"/>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color w:val="000000"/>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Arial" w:hAnsi="Arial" w:cs="Arial"/>
      <w:color w:val="000000"/>
      <w:sz w:val="22"/>
      <w:szCs w:val="22"/>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Arial" w:hAnsi="Arial" w:cs="Arial"/>
      <w:color w:val="000000"/>
      <w:sz w:val="22"/>
      <w:szCs w:val="22"/>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Arial" w:hAnsi="Arial" w:cs="Arial"/>
      <w:iCs/>
      <w:color w:val="000000"/>
      <w:sz w:val="22"/>
      <w:szCs w:val="22"/>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cs="Times New Roman"/>
    </w:rPr>
  </w:style>
  <w:style w:type="character" w:customStyle="1" w:styleId="WW8Num17z1">
    <w:name w:val="WW8Num17z1"/>
    <w:qFormat/>
    <w:rPr>
      <w:rFonts w:cs="Times New Roman"/>
    </w:rPr>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Arial" w:hAnsi="Arial" w:cs="Arial"/>
      <w:i w:val="0"/>
      <w:iCs/>
      <w:color w:val="000000"/>
      <w:sz w:val="22"/>
      <w:szCs w:val="22"/>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Arial" w:hAnsi="Arial" w:cs="Arial"/>
      <w:strike w:val="0"/>
      <w:dstrike w:val="0"/>
      <w:color w:val="000000"/>
      <w:sz w:val="22"/>
      <w:szCs w:val="22"/>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color w:val="000000"/>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i w:val="0"/>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Arial" w:eastAsia="Times New Roman" w:hAnsi="Arial" w:cs="Arial"/>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cs="Times New Roman"/>
    </w:rPr>
  </w:style>
  <w:style w:type="character" w:customStyle="1" w:styleId="WW8Num27z1">
    <w:name w:val="WW8Num27z1"/>
    <w:qFormat/>
    <w:rPr>
      <w:rFonts w:cs="Times New Roman"/>
    </w:rPr>
  </w:style>
  <w:style w:type="character" w:customStyle="1" w:styleId="WW8Num28z0">
    <w:name w:val="WW8Num28z0"/>
    <w:qFormat/>
    <w:rPr>
      <w:rFonts w:ascii="Arial" w:eastAsia="Times New Roman" w:hAnsi="Arial" w:cs="Times New Roman"/>
      <w:bCs/>
      <w:i/>
      <w:iCs/>
      <w:sz w:val="22"/>
      <w:szCs w:val="22"/>
    </w:rPr>
  </w:style>
  <w:style w:type="character" w:customStyle="1" w:styleId="WW8Num28z1">
    <w:name w:val="WW8Num28z1"/>
    <w:qFormat/>
    <w:rPr>
      <w:rFonts w:cs="Times New Roman"/>
    </w:rPr>
  </w:style>
  <w:style w:type="character" w:customStyle="1" w:styleId="WW8Num29z0">
    <w:name w:val="WW8Num29z0"/>
    <w:qFormat/>
    <w:rPr>
      <w:b w:val="0"/>
      <w:u w:val="none"/>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Arial" w:hAnsi="Arial" w:cs="Arial"/>
      <w:color w:val="000000"/>
      <w:sz w:val="22"/>
      <w:szCs w:val="22"/>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strike w:val="0"/>
      <w:dstrike w:val="0"/>
      <w:color w:val="000000"/>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Arial" w:eastAsia="Times New Roman" w:hAnsi="Arial" w:cs="Arial"/>
      <w:color w:val="000000"/>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FootnoteCharacters">
    <w:name w:val="Footnote Characters"/>
    <w:qFormat/>
    <w:rPr>
      <w:vertAlign w:val="superscript"/>
    </w:rPr>
  </w:style>
  <w:style w:type="character" w:styleId="Odkaznakoment">
    <w:name w:val="annotation reference"/>
    <w:qFormat/>
    <w:rPr>
      <w:sz w:val="16"/>
      <w:szCs w:val="16"/>
    </w:rPr>
  </w:style>
  <w:style w:type="character" w:customStyle="1" w:styleId="TextkomenteChar">
    <w:name w:val="Text komentáře Char"/>
    <w:basedOn w:val="Standardnpsmoodstavce"/>
    <w:qFormat/>
  </w:style>
  <w:style w:type="character" w:customStyle="1" w:styleId="PedmtkomenteChar">
    <w:name w:val="Předmět komentáře Char"/>
    <w:qFormat/>
    <w:rPr>
      <w:b/>
      <w:bCs/>
    </w:rPr>
  </w:style>
  <w:style w:type="character" w:customStyle="1" w:styleId="ZpatChar">
    <w:name w:val="Zápatí Char"/>
    <w:qFormat/>
    <w:rPr>
      <w:sz w:val="24"/>
      <w:szCs w:val="24"/>
    </w:rPr>
  </w:style>
  <w:style w:type="character" w:customStyle="1" w:styleId="Nadpis2Char">
    <w:name w:val="Nadpis 2 Char"/>
    <w:qFormat/>
    <w:rPr>
      <w:sz w:val="24"/>
      <w:u w:val="single"/>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ln"/>
    <w:next w:val="Zkladntext"/>
    <w:qFormat/>
    <w:pPr>
      <w:keepNext/>
      <w:spacing w:before="240" w:after="120"/>
    </w:pPr>
    <w:rPr>
      <w:rFonts w:ascii="Liberation Sans" w:eastAsia="DejaVu Sans" w:hAnsi="Liberation Sans" w:cs="Lohit Devanagari"/>
      <w:sz w:val="28"/>
      <w:szCs w:val="28"/>
    </w:rPr>
  </w:style>
  <w:style w:type="paragraph" w:styleId="Zkladntext">
    <w:name w:val="Body Text"/>
    <w:basedOn w:val="Normln"/>
    <w:pPr>
      <w:spacing w:after="120"/>
    </w:pPr>
    <w:rPr>
      <w:szCs w:val="20"/>
    </w:r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rPr>
  </w:style>
  <w:style w:type="paragraph" w:customStyle="1" w:styleId="Index">
    <w:name w:val="Index"/>
    <w:basedOn w:val="Normln"/>
    <w:qFormat/>
    <w:pPr>
      <w:suppressLineNumbers/>
    </w:pPr>
    <w:rPr>
      <w:rFonts w:cs="Lohit Devanagari"/>
      <w:lang/>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qFormat/>
    <w:pPr>
      <w:ind w:left="708" w:firstLine="360"/>
      <w:jc w:val="both"/>
    </w:pPr>
    <w:rPr>
      <w:bCs/>
      <w:szCs w:val="20"/>
    </w:rPr>
  </w:style>
  <w:style w:type="paragraph" w:customStyle="1" w:styleId="HeaderandFooter">
    <w:name w:val="Header and Footer"/>
    <w:basedOn w:val="Normln"/>
    <w:qFormat/>
    <w:pPr>
      <w:suppressLineNumbers/>
      <w:tabs>
        <w:tab w:val="center" w:pos="4986"/>
        <w:tab w:val="right" w:pos="9972"/>
      </w:tabs>
    </w:p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val="en-US" w:eastAsia="en-US"/>
    </w:rPr>
  </w:style>
  <w:style w:type="paragraph" w:customStyle="1" w:styleId="NormlnIMP">
    <w:name w:val="Normální_IMP"/>
    <w:basedOn w:val="Normln"/>
    <w:qFormat/>
    <w:pPr>
      <w:overflowPunct w:val="0"/>
      <w:autoSpaceDE w:val="0"/>
      <w:spacing w:line="228" w:lineRule="auto"/>
      <w:jc w:val="both"/>
      <w:textAlignment w:val="baseline"/>
    </w:pPr>
    <w:rPr>
      <w:szCs w:val="20"/>
    </w:rPr>
  </w:style>
  <w:style w:type="paragraph" w:styleId="Textkomente">
    <w:name w:val="annotation text"/>
    <w:basedOn w:val="Normln"/>
    <w:qFormat/>
    <w:rPr>
      <w:sz w:val="20"/>
      <w:szCs w:val="20"/>
    </w:rPr>
  </w:style>
  <w:style w:type="paragraph" w:styleId="Zkladntextodsazen3">
    <w:name w:val="Body Text Indent 3"/>
    <w:basedOn w:val="Normln"/>
    <w:qFormat/>
    <w:pPr>
      <w:widowControl w:val="0"/>
      <w:tabs>
        <w:tab w:val="left" w:pos="540"/>
      </w:tabs>
      <w:ind w:left="540" w:hanging="540"/>
      <w:jc w:val="both"/>
    </w:pPr>
    <w:rPr>
      <w:bCs/>
    </w:rPr>
  </w:style>
  <w:style w:type="paragraph" w:styleId="Textbubliny">
    <w:name w:val="Balloon Text"/>
    <w:basedOn w:val="Normln"/>
    <w:qFormat/>
    <w:rPr>
      <w:rFonts w:ascii="Tahoma" w:hAnsi="Tahoma" w:cs="Tahoma"/>
      <w:sz w:val="16"/>
      <w:szCs w:val="16"/>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styleId="Pedmtkomente">
    <w:name w:val="annotation subject"/>
    <w:basedOn w:val="Textkomente"/>
    <w:next w:val="Textkomente"/>
    <w:qFormat/>
    <w:rPr>
      <w:b/>
      <w:bCs/>
      <w:lang w:val="en-US"/>
    </w:rPr>
  </w:style>
  <w:style w:type="paragraph" w:styleId="Zpat">
    <w:name w:val="footer"/>
    <w:basedOn w:val="Normln"/>
    <w:pPr>
      <w:tabs>
        <w:tab w:val="center" w:pos="4536"/>
        <w:tab w:val="right" w:pos="9072"/>
      </w:tabs>
    </w:pPr>
    <w:rPr>
      <w:lang w:val="en-US"/>
    </w:rPr>
  </w:style>
  <w:style w:type="paragraph" w:customStyle="1" w:styleId="Default">
    <w:name w:val="Default"/>
    <w:qFormat/>
    <w:pPr>
      <w:autoSpaceDE w:val="0"/>
    </w:pPr>
    <w:rPr>
      <w:rFonts w:ascii="Arial" w:eastAsia="Times New Roman" w:hAnsi="Arial" w:cs="Arial"/>
      <w:color w:val="000000"/>
      <w:lang w:val="cs-CZ"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927</Words>
  <Characters>5473</Characters>
  <Application>Microsoft Office Word</Application>
  <DocSecurity>0</DocSecurity>
  <Lines>45</Lines>
  <Paragraphs>12</Paragraphs>
  <ScaleCrop>false</ScaleCrop>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Jan Dušek</cp:lastModifiedBy>
  <cp:revision>2</cp:revision>
  <dcterms:created xsi:type="dcterms:W3CDTF">2024-12-18T08:17:00Z</dcterms:created>
  <dcterms:modified xsi:type="dcterms:W3CDTF">2024-12-18T08:17:00Z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2024-10-24T07:42:00Z</dcterms:created>
  <dc:creator>DA210036</dc:creator>
  <dc:description/>
  <cp:keywords> </cp:keywords>
  <dc:language>en-US</dc:language>
  <cp:lastModifiedBy>Jan Dušek</cp:lastModifiedBy>
  <cp:lastPrinted>2020-12-03T10:05:00Z</cp:lastPrinted>
  <dcterms:modified xsi:type="dcterms:W3CDTF">2024-11-07T10:26:00Z</dcterms:modified>
  <cp:revision>5</cp:revision>
  <dc:subject/>
  <dc:title>Vzor obecně závazné vyhlášky obce o stanovení systému shromažďování, sběru, přepravy, třídění, využívání a odstraňování komuná</dc:title>
</cp:coreProperties>
</file>