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1A" w:rsidRPr="009143F2" w:rsidRDefault="007F101A" w:rsidP="007F101A">
      <w:pPr>
        <w:spacing w:line="259" w:lineRule="auto"/>
        <w:ind w:left="134"/>
        <w:jc w:val="center"/>
        <w:rPr>
          <w:rFonts w:ascii="Arial" w:hAnsi="Arial" w:cs="Arial"/>
        </w:rPr>
      </w:pPr>
      <w:r w:rsidRPr="009143F2">
        <w:rPr>
          <w:rFonts w:ascii="Arial" w:hAnsi="Arial" w:cs="Arial"/>
          <w:b/>
          <w:sz w:val="32"/>
        </w:rPr>
        <w:t xml:space="preserve">NAŘÍZENÍ  MĚSTA  </w:t>
      </w:r>
    </w:p>
    <w:p w:rsidR="007F101A" w:rsidRPr="009143F2" w:rsidRDefault="007F101A" w:rsidP="007F101A">
      <w:pPr>
        <w:spacing w:line="259" w:lineRule="auto"/>
        <w:ind w:left="148"/>
        <w:jc w:val="center"/>
        <w:rPr>
          <w:rFonts w:ascii="Arial" w:hAnsi="Arial" w:cs="Arial"/>
        </w:rPr>
      </w:pPr>
      <w:r w:rsidRPr="009143F2">
        <w:rPr>
          <w:rFonts w:ascii="Arial" w:hAnsi="Arial" w:cs="Arial"/>
          <w:b/>
          <w:sz w:val="28"/>
        </w:rPr>
        <w:t xml:space="preserve">B y s t ř i c e   n a d   P e r n š t e j n e m </w:t>
      </w:r>
    </w:p>
    <w:p w:rsidR="007F101A" w:rsidRPr="00860ECF" w:rsidRDefault="007F101A" w:rsidP="007F101A">
      <w:pPr>
        <w:spacing w:line="259" w:lineRule="auto"/>
        <w:ind w:left="148"/>
        <w:jc w:val="center"/>
        <w:rPr>
          <w:rFonts w:ascii="Arial" w:hAnsi="Arial" w:cs="Arial"/>
          <w:sz w:val="28"/>
          <w:szCs w:val="28"/>
        </w:rPr>
      </w:pPr>
      <w:r w:rsidRPr="00860ECF">
        <w:rPr>
          <w:rFonts w:ascii="Arial" w:hAnsi="Arial" w:cs="Arial"/>
          <w:b/>
          <w:sz w:val="28"/>
          <w:szCs w:val="28"/>
        </w:rPr>
        <w:t xml:space="preserve">č. </w:t>
      </w:r>
      <w:r>
        <w:rPr>
          <w:rFonts w:ascii="Arial" w:hAnsi="Arial" w:cs="Arial"/>
          <w:b/>
          <w:sz w:val="28"/>
          <w:szCs w:val="28"/>
        </w:rPr>
        <w:t>1</w:t>
      </w:r>
      <w:r w:rsidRPr="00860ECF">
        <w:rPr>
          <w:rFonts w:ascii="Arial" w:hAnsi="Arial" w:cs="Arial"/>
          <w:b/>
          <w:sz w:val="28"/>
          <w:szCs w:val="28"/>
        </w:rPr>
        <w:t xml:space="preserve">/2021, </w:t>
      </w:r>
    </w:p>
    <w:p w:rsidR="007F101A" w:rsidRPr="009143F2" w:rsidRDefault="007F101A" w:rsidP="007F101A">
      <w:pPr>
        <w:spacing w:after="124" w:line="259" w:lineRule="auto"/>
        <w:ind w:left="134"/>
        <w:jc w:val="center"/>
        <w:rPr>
          <w:rFonts w:ascii="Arial" w:hAnsi="Arial" w:cs="Arial"/>
        </w:rPr>
      </w:pPr>
      <w:r w:rsidRPr="009143F2">
        <w:rPr>
          <w:rFonts w:ascii="Arial" w:hAnsi="Arial" w:cs="Arial"/>
          <w:sz w:val="28"/>
        </w:rPr>
        <w:t xml:space="preserve">kterým se vydává  </w:t>
      </w:r>
    </w:p>
    <w:p w:rsidR="007F101A" w:rsidRPr="009143F2" w:rsidRDefault="007F101A" w:rsidP="007F101A">
      <w:pPr>
        <w:spacing w:after="57" w:line="259" w:lineRule="auto"/>
        <w:ind w:left="247"/>
        <w:jc w:val="center"/>
        <w:rPr>
          <w:rFonts w:ascii="Arial" w:hAnsi="Arial" w:cs="Arial"/>
        </w:rPr>
      </w:pPr>
      <w:r w:rsidRPr="009143F2">
        <w:rPr>
          <w:rFonts w:ascii="Arial" w:hAnsi="Arial" w:cs="Arial"/>
          <w:b/>
          <w:sz w:val="44"/>
        </w:rPr>
        <w:t xml:space="preserve"> </w:t>
      </w:r>
    </w:p>
    <w:p w:rsidR="007F101A" w:rsidRPr="00C861CE" w:rsidRDefault="007F101A" w:rsidP="007F101A">
      <w:pPr>
        <w:pStyle w:val="Nadpis1"/>
        <w:tabs>
          <w:tab w:val="center" w:pos="3062"/>
          <w:tab w:val="center" w:pos="4964"/>
        </w:tabs>
        <w:rPr>
          <w:rFonts w:ascii="Arial" w:hAnsi="Arial" w:cs="Arial"/>
          <w:sz w:val="32"/>
          <w:szCs w:val="32"/>
        </w:rPr>
      </w:pPr>
      <w:r w:rsidRPr="00C861CE">
        <w:rPr>
          <w:rFonts w:ascii="Arial" w:hAnsi="Arial" w:cs="Arial"/>
          <w:sz w:val="32"/>
          <w:szCs w:val="32"/>
        </w:rPr>
        <w:t>T</w:t>
      </w:r>
      <w:r>
        <w:rPr>
          <w:rFonts w:ascii="Arial" w:hAnsi="Arial" w:cs="Arial"/>
          <w:sz w:val="32"/>
          <w:szCs w:val="32"/>
        </w:rPr>
        <w:t xml:space="preserve"> </w:t>
      </w:r>
      <w:r w:rsidRPr="00C861CE">
        <w:rPr>
          <w:rFonts w:ascii="Arial" w:hAnsi="Arial" w:cs="Arial"/>
          <w:sz w:val="32"/>
          <w:szCs w:val="32"/>
        </w:rPr>
        <w:t>R</w:t>
      </w:r>
      <w:r>
        <w:rPr>
          <w:rFonts w:ascii="Arial" w:hAnsi="Arial" w:cs="Arial"/>
          <w:sz w:val="32"/>
          <w:szCs w:val="32"/>
        </w:rPr>
        <w:t xml:space="preserve"> </w:t>
      </w:r>
      <w:r w:rsidRPr="00C861CE">
        <w:rPr>
          <w:rFonts w:ascii="Arial" w:hAnsi="Arial" w:cs="Arial"/>
          <w:sz w:val="32"/>
          <w:szCs w:val="32"/>
        </w:rPr>
        <w:t>Ž</w:t>
      </w:r>
      <w:r>
        <w:rPr>
          <w:rFonts w:ascii="Arial" w:hAnsi="Arial" w:cs="Arial"/>
          <w:sz w:val="32"/>
          <w:szCs w:val="32"/>
        </w:rPr>
        <w:t xml:space="preserve"> </w:t>
      </w:r>
      <w:r w:rsidRPr="00C861CE">
        <w:rPr>
          <w:rFonts w:ascii="Arial" w:hAnsi="Arial" w:cs="Arial"/>
          <w:sz w:val="32"/>
          <w:szCs w:val="32"/>
        </w:rPr>
        <w:t>N</w:t>
      </w:r>
      <w:r>
        <w:rPr>
          <w:rFonts w:ascii="Arial" w:hAnsi="Arial" w:cs="Arial"/>
          <w:sz w:val="32"/>
          <w:szCs w:val="32"/>
        </w:rPr>
        <w:t xml:space="preserve"> </w:t>
      </w:r>
      <w:r w:rsidRPr="00C861CE">
        <w:rPr>
          <w:rFonts w:ascii="Arial" w:hAnsi="Arial" w:cs="Arial"/>
          <w:sz w:val="32"/>
          <w:szCs w:val="32"/>
        </w:rPr>
        <w:t>Í</w:t>
      </w:r>
      <w:r>
        <w:rPr>
          <w:rFonts w:ascii="Arial" w:hAnsi="Arial" w:cs="Arial"/>
          <w:sz w:val="32"/>
          <w:szCs w:val="32"/>
        </w:rPr>
        <w:t xml:space="preserve">  </w:t>
      </w:r>
      <w:r w:rsidRPr="00C861CE">
        <w:rPr>
          <w:rFonts w:ascii="Arial" w:hAnsi="Arial" w:cs="Arial"/>
          <w:sz w:val="32"/>
          <w:szCs w:val="32"/>
        </w:rPr>
        <w:t xml:space="preserve"> Ř</w:t>
      </w:r>
      <w:r>
        <w:rPr>
          <w:rFonts w:ascii="Arial" w:hAnsi="Arial" w:cs="Arial"/>
          <w:sz w:val="32"/>
          <w:szCs w:val="32"/>
        </w:rPr>
        <w:t xml:space="preserve"> </w:t>
      </w:r>
      <w:r w:rsidRPr="00C861CE">
        <w:rPr>
          <w:rFonts w:ascii="Arial" w:hAnsi="Arial" w:cs="Arial"/>
          <w:sz w:val="32"/>
          <w:szCs w:val="32"/>
        </w:rPr>
        <w:t>Á</w:t>
      </w:r>
      <w:r>
        <w:rPr>
          <w:rFonts w:ascii="Arial" w:hAnsi="Arial" w:cs="Arial"/>
          <w:sz w:val="32"/>
          <w:szCs w:val="32"/>
        </w:rPr>
        <w:t xml:space="preserve"> </w:t>
      </w:r>
      <w:r w:rsidRPr="00C861CE">
        <w:rPr>
          <w:rFonts w:ascii="Arial" w:hAnsi="Arial" w:cs="Arial"/>
          <w:sz w:val="32"/>
          <w:szCs w:val="32"/>
        </w:rPr>
        <w:t>D</w:t>
      </w:r>
    </w:p>
    <w:p w:rsidR="007F101A" w:rsidRPr="009143F2" w:rsidRDefault="007F101A" w:rsidP="007F101A">
      <w:pPr>
        <w:spacing w:after="24" w:line="259" w:lineRule="auto"/>
        <w:ind w:left="142"/>
        <w:rPr>
          <w:rFonts w:ascii="Arial" w:hAnsi="Arial" w:cs="Arial"/>
        </w:rPr>
      </w:pPr>
      <w:r w:rsidRPr="009143F2">
        <w:rPr>
          <w:rFonts w:ascii="Arial" w:hAnsi="Arial" w:cs="Arial"/>
        </w:rPr>
        <w:t xml:space="preserve"> </w:t>
      </w:r>
    </w:p>
    <w:p w:rsidR="007F101A" w:rsidRPr="00DA1D68" w:rsidRDefault="007F101A" w:rsidP="007F101A">
      <w:pPr>
        <w:widowControl w:val="0"/>
        <w:adjustRightInd w:val="0"/>
        <w:jc w:val="both"/>
        <w:rPr>
          <w:rFonts w:ascii="Arial" w:hAnsi="Arial" w:cs="Arial"/>
        </w:rPr>
      </w:pPr>
      <w:r w:rsidRPr="00DA1D68">
        <w:rPr>
          <w:rFonts w:ascii="Arial" w:hAnsi="Arial" w:cs="Arial"/>
        </w:rPr>
        <w:t xml:space="preserve">Rada města Bystřice nad Pernštejnem na základě ustanovení § 18 zákona č. 455/1991 Sb., o živnostenském podnikání (živnostenský zákon), ve znění pozdějších předpisů, a v souladu s ustanovením § 11, </w:t>
      </w:r>
      <w:proofErr w:type="gramStart"/>
      <w:r w:rsidRPr="00DA1D68">
        <w:rPr>
          <w:rFonts w:ascii="Arial" w:hAnsi="Arial" w:cs="Arial"/>
        </w:rPr>
        <w:t>odst.1</w:t>
      </w:r>
      <w:r>
        <w:rPr>
          <w:rFonts w:ascii="Arial" w:hAnsi="Arial" w:cs="Arial"/>
        </w:rPr>
        <w:t>)</w:t>
      </w:r>
      <w:r w:rsidRPr="00DA1D68">
        <w:rPr>
          <w:rFonts w:ascii="Arial" w:hAnsi="Arial" w:cs="Arial"/>
        </w:rPr>
        <w:t xml:space="preserve"> zákona</w:t>
      </w:r>
      <w:proofErr w:type="gramEnd"/>
      <w:r w:rsidRPr="00DA1D68">
        <w:rPr>
          <w:rFonts w:ascii="Arial" w:hAnsi="Arial" w:cs="Arial"/>
        </w:rPr>
        <w:t xml:space="preserve"> č. 128/2000 Sb., o obcích (obecní zřízení), ve znění pozdějších předpisů, vydává dne </w:t>
      </w:r>
      <w:r>
        <w:rPr>
          <w:rFonts w:ascii="Arial" w:hAnsi="Arial" w:cs="Arial"/>
        </w:rPr>
        <w:t xml:space="preserve">16.03.2021 </w:t>
      </w:r>
      <w:r w:rsidRPr="00DA1D68">
        <w:rPr>
          <w:rFonts w:ascii="Arial" w:hAnsi="Arial" w:cs="Arial"/>
        </w:rPr>
        <w:t xml:space="preserve">toto  </w:t>
      </w:r>
    </w:p>
    <w:p w:rsidR="007F101A" w:rsidRPr="00DA1D68" w:rsidRDefault="007F101A" w:rsidP="007F101A">
      <w:pPr>
        <w:spacing w:after="28" w:line="259" w:lineRule="auto"/>
        <w:ind w:left="142" w:right="118"/>
        <w:rPr>
          <w:rFonts w:ascii="Arial" w:hAnsi="Arial" w:cs="Arial"/>
        </w:rPr>
      </w:pPr>
      <w:r w:rsidRPr="00DA1D68">
        <w:rPr>
          <w:rFonts w:ascii="Arial" w:hAnsi="Arial" w:cs="Arial"/>
        </w:rPr>
        <w:t xml:space="preserve"> </w:t>
      </w:r>
    </w:p>
    <w:p w:rsidR="007F101A" w:rsidRPr="00DA1D68" w:rsidRDefault="007F101A" w:rsidP="007F101A">
      <w:pPr>
        <w:spacing w:line="259" w:lineRule="auto"/>
        <w:ind w:left="137" w:right="118"/>
        <w:jc w:val="center"/>
        <w:rPr>
          <w:rFonts w:ascii="Arial" w:hAnsi="Arial" w:cs="Arial"/>
        </w:rPr>
      </w:pPr>
      <w:r w:rsidRPr="00DA1D68">
        <w:rPr>
          <w:rFonts w:ascii="Arial" w:hAnsi="Arial" w:cs="Arial"/>
          <w:b/>
        </w:rPr>
        <w:t>nařízení města, kterým se vydává TRŽNÍ ŘÁD.</w:t>
      </w:r>
    </w:p>
    <w:p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Článek 1</w:t>
      </w:r>
    </w:p>
    <w:p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Prodej zboží a poskytování služeb mimo provozovnu </w:t>
      </w:r>
    </w:p>
    <w:p w:rsidR="007F101A" w:rsidRPr="00DA1D68" w:rsidRDefault="007F101A" w:rsidP="007F101A">
      <w:pPr>
        <w:numPr>
          <w:ilvl w:val="0"/>
          <w:numId w:val="1"/>
        </w:numPr>
        <w:autoSpaceDE/>
        <w:autoSpaceDN/>
        <w:spacing w:after="40" w:line="276" w:lineRule="auto"/>
        <w:ind w:right="118" w:hanging="259"/>
        <w:jc w:val="both"/>
        <w:rPr>
          <w:rFonts w:ascii="Arial" w:hAnsi="Arial" w:cs="Arial"/>
        </w:rPr>
      </w:pPr>
      <w:r w:rsidRPr="00DA1D68">
        <w:rPr>
          <w:rFonts w:ascii="Arial" w:hAnsi="Arial" w:cs="Arial"/>
        </w:rPr>
        <w:t>Nabídka a prodej zboží a poskytování služeb mimo provozovnu určenou k tomuto účelu kolaudačním rozhodnutím podle zvláštního zákona</w:t>
      </w:r>
      <w:r w:rsidRPr="00DA1D68">
        <w:rPr>
          <w:rFonts w:ascii="Arial" w:hAnsi="Arial" w:cs="Arial"/>
          <w:vertAlign w:val="superscript"/>
        </w:rPr>
        <w:footnoteReference w:id="1"/>
      </w:r>
      <w:r w:rsidRPr="00DA1D68">
        <w:rPr>
          <w:rFonts w:ascii="Arial" w:hAnsi="Arial" w:cs="Arial"/>
        </w:rPr>
        <w:t xml:space="preserve"> (d</w:t>
      </w:r>
      <w:bookmarkStart w:id="0" w:name="_GoBack"/>
      <w:bookmarkEnd w:id="0"/>
      <w:r w:rsidRPr="00DA1D68">
        <w:rPr>
          <w:rFonts w:ascii="Arial" w:hAnsi="Arial" w:cs="Arial"/>
        </w:rPr>
        <w:t xml:space="preserve">ále jen „prodej“) lze uskutečňovat pouze na stálém tržním místě, mimořádném tržním místě, trhu a před provozovnou na předsunutém tržním místě. </w:t>
      </w:r>
    </w:p>
    <w:p w:rsidR="007F101A" w:rsidRPr="00DA1D68" w:rsidRDefault="007F101A" w:rsidP="007F101A">
      <w:pPr>
        <w:numPr>
          <w:ilvl w:val="0"/>
          <w:numId w:val="1"/>
        </w:numPr>
        <w:autoSpaceDE/>
        <w:autoSpaceDN/>
        <w:spacing w:after="12" w:line="270" w:lineRule="auto"/>
        <w:ind w:right="118" w:hanging="259"/>
        <w:jc w:val="both"/>
        <w:rPr>
          <w:rFonts w:ascii="Arial" w:hAnsi="Arial" w:cs="Arial"/>
        </w:rPr>
      </w:pPr>
      <w:r w:rsidRPr="00DA1D68">
        <w:rPr>
          <w:rFonts w:ascii="Arial" w:hAnsi="Arial" w:cs="Arial"/>
          <w:b/>
          <w:i/>
        </w:rPr>
        <w:t>Stálým tržním místem</w:t>
      </w:r>
      <w:r w:rsidRPr="00DA1D68">
        <w:rPr>
          <w:rFonts w:ascii="Arial" w:hAnsi="Arial" w:cs="Arial"/>
        </w:rPr>
        <w:t xml:space="preserve"> se rozumí místo trvale nebo mimořádně určené k prodeji nebo poskytování služeb mimo provozovnu. </w:t>
      </w:r>
    </w:p>
    <w:p w:rsidR="007F101A" w:rsidRPr="00DA1D68" w:rsidRDefault="007F101A" w:rsidP="007F101A">
      <w:pPr>
        <w:numPr>
          <w:ilvl w:val="0"/>
          <w:numId w:val="1"/>
        </w:numPr>
        <w:autoSpaceDE/>
        <w:autoSpaceDN/>
        <w:spacing w:after="24" w:line="259" w:lineRule="auto"/>
        <w:ind w:left="426" w:right="118" w:hanging="284"/>
        <w:rPr>
          <w:rFonts w:ascii="Arial" w:hAnsi="Arial" w:cs="Arial"/>
        </w:rPr>
      </w:pPr>
      <w:r w:rsidRPr="00DA1D68">
        <w:rPr>
          <w:rFonts w:ascii="Arial" w:hAnsi="Arial" w:cs="Arial"/>
          <w:b/>
          <w:i/>
        </w:rPr>
        <w:t xml:space="preserve">Stálým tržním místem </w:t>
      </w:r>
      <w:r w:rsidRPr="00DA1D68">
        <w:rPr>
          <w:rFonts w:ascii="Arial" w:hAnsi="Arial" w:cs="Arial"/>
        </w:rPr>
        <w:t>ve městě j</w:t>
      </w:r>
      <w:r>
        <w:rPr>
          <w:rFonts w:ascii="Arial" w:hAnsi="Arial" w:cs="Arial"/>
        </w:rPr>
        <w:t xml:space="preserve">sou tato místa: </w:t>
      </w:r>
      <w:r w:rsidRPr="00DA1D68">
        <w:rPr>
          <w:rFonts w:ascii="Arial" w:hAnsi="Arial" w:cs="Arial"/>
        </w:rPr>
        <w:t xml:space="preserve">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nádvoří areálu ZZN , pozemek </w:t>
      </w:r>
      <w:proofErr w:type="gramStart"/>
      <w:r w:rsidRPr="00503F81">
        <w:rPr>
          <w:rFonts w:ascii="Arial" w:hAnsi="Arial" w:cs="Arial"/>
          <w:i/>
        </w:rPr>
        <w:t>p.č.</w:t>
      </w:r>
      <w:proofErr w:type="gramEnd"/>
      <w:r w:rsidRPr="00503F81">
        <w:rPr>
          <w:rFonts w:ascii="Arial" w:hAnsi="Arial" w:cs="Arial"/>
          <w:i/>
        </w:rPr>
        <w:t xml:space="preserve"> 307/12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sídliště I. u budovy bývalé kotelny, pozemek </w:t>
      </w:r>
      <w:proofErr w:type="gramStart"/>
      <w:r w:rsidRPr="00503F81">
        <w:rPr>
          <w:rFonts w:ascii="Arial" w:hAnsi="Arial" w:cs="Arial"/>
          <w:i/>
        </w:rPr>
        <w:t>p.č.</w:t>
      </w:r>
      <w:proofErr w:type="gramEnd"/>
      <w:r w:rsidRPr="00503F81">
        <w:rPr>
          <w:rFonts w:ascii="Arial" w:hAnsi="Arial" w:cs="Arial"/>
          <w:i/>
        </w:rPr>
        <w:t xml:space="preserve"> 1636/2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u supermarketu PENNY, pozemek </w:t>
      </w:r>
      <w:proofErr w:type="gramStart"/>
      <w:r w:rsidRPr="00503F81">
        <w:rPr>
          <w:rFonts w:ascii="Arial" w:hAnsi="Arial" w:cs="Arial"/>
          <w:i/>
        </w:rPr>
        <w:t>p.č.</w:t>
      </w:r>
      <w:proofErr w:type="gramEnd"/>
      <w:r w:rsidRPr="00503F81">
        <w:rPr>
          <w:rFonts w:ascii="Arial" w:hAnsi="Arial" w:cs="Arial"/>
          <w:i/>
        </w:rPr>
        <w:t xml:space="preserve"> 169/9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w:t>
      </w:r>
      <w:proofErr w:type="spellStart"/>
      <w:r w:rsidRPr="00503F81">
        <w:rPr>
          <w:rFonts w:ascii="Arial" w:hAnsi="Arial" w:cs="Arial"/>
          <w:i/>
        </w:rPr>
        <w:t>Bratrušín</w:t>
      </w:r>
      <w:proofErr w:type="spellEnd"/>
      <w:r w:rsidRPr="00503F81">
        <w:rPr>
          <w:rFonts w:ascii="Arial" w:hAnsi="Arial" w:cs="Arial"/>
          <w:i/>
        </w:rPr>
        <w:t xml:space="preserve">: vedle kulturního domu,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323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Domanín: vedle kulturního domu,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434 a 504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Dvořiště: u hasičské zbrojnice,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362/1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Divišov: pod návesním rybníkem,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486/2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w:t>
      </w:r>
      <w:proofErr w:type="spellStart"/>
      <w:r w:rsidRPr="00503F81">
        <w:rPr>
          <w:rFonts w:ascii="Arial" w:hAnsi="Arial" w:cs="Arial"/>
          <w:i/>
        </w:rPr>
        <w:t>Karasín</w:t>
      </w:r>
      <w:proofErr w:type="spellEnd"/>
      <w:r w:rsidRPr="00503F81">
        <w:rPr>
          <w:rFonts w:ascii="Arial" w:hAnsi="Arial" w:cs="Arial"/>
          <w:i/>
        </w:rPr>
        <w:t xml:space="preserve">: pod domem čp. 17,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526/1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Kozlov: před domem čp. 19,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258/1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w:t>
      </w:r>
      <w:proofErr w:type="spellStart"/>
      <w:r w:rsidRPr="00503F81">
        <w:rPr>
          <w:rFonts w:ascii="Arial" w:hAnsi="Arial" w:cs="Arial"/>
          <w:i/>
        </w:rPr>
        <w:t>Lesoňovice</w:t>
      </w:r>
      <w:proofErr w:type="spellEnd"/>
      <w:r w:rsidRPr="00503F81">
        <w:rPr>
          <w:rFonts w:ascii="Arial" w:hAnsi="Arial" w:cs="Arial"/>
          <w:i/>
        </w:rPr>
        <w:t xml:space="preserve">: nad obecním domem,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471/2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w:t>
      </w:r>
      <w:proofErr w:type="spellStart"/>
      <w:r w:rsidRPr="00503F81">
        <w:rPr>
          <w:rFonts w:ascii="Arial" w:hAnsi="Arial" w:cs="Arial"/>
          <w:i/>
        </w:rPr>
        <w:t>Pivonice</w:t>
      </w:r>
      <w:proofErr w:type="spellEnd"/>
      <w:r w:rsidRPr="00503F81">
        <w:rPr>
          <w:rFonts w:ascii="Arial" w:hAnsi="Arial" w:cs="Arial"/>
          <w:i/>
        </w:rPr>
        <w:t xml:space="preserve">: otočka autobusu,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47/3 </w:t>
      </w:r>
    </w:p>
    <w:p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Rovné: před kulturním domem, stavební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24/2 </w:t>
      </w:r>
    </w:p>
    <w:p w:rsidR="007F101A" w:rsidRPr="00503F81" w:rsidRDefault="007F101A" w:rsidP="007F101A">
      <w:pPr>
        <w:numPr>
          <w:ilvl w:val="0"/>
          <w:numId w:val="2"/>
        </w:numPr>
        <w:autoSpaceDE/>
        <w:autoSpaceDN/>
        <w:spacing w:line="259" w:lineRule="auto"/>
        <w:ind w:left="426" w:right="118"/>
        <w:rPr>
          <w:rFonts w:ascii="Arial" w:hAnsi="Arial" w:cs="Arial"/>
          <w:i/>
        </w:rPr>
      </w:pPr>
      <w:r w:rsidRPr="00503F81">
        <w:rPr>
          <w:rFonts w:ascii="Arial" w:hAnsi="Arial" w:cs="Arial"/>
          <w:i/>
        </w:rPr>
        <w:t xml:space="preserve">místní část </w:t>
      </w:r>
      <w:proofErr w:type="spellStart"/>
      <w:r w:rsidRPr="00503F81">
        <w:rPr>
          <w:rFonts w:ascii="Arial" w:hAnsi="Arial" w:cs="Arial"/>
          <w:i/>
        </w:rPr>
        <w:t>Vítochov</w:t>
      </w:r>
      <w:proofErr w:type="spellEnd"/>
      <w:r w:rsidRPr="00503F81">
        <w:rPr>
          <w:rFonts w:ascii="Arial" w:hAnsi="Arial" w:cs="Arial"/>
          <w:i/>
        </w:rPr>
        <w:t xml:space="preserve">: před kulturním domem, </w:t>
      </w:r>
      <w:proofErr w:type="spellStart"/>
      <w:r w:rsidRPr="00503F81">
        <w:rPr>
          <w:rFonts w:ascii="Arial" w:hAnsi="Arial" w:cs="Arial"/>
          <w:i/>
        </w:rPr>
        <w:t>parc</w:t>
      </w:r>
      <w:proofErr w:type="spellEnd"/>
      <w:r w:rsidRPr="00503F81">
        <w:rPr>
          <w:rFonts w:ascii="Arial" w:hAnsi="Arial" w:cs="Arial"/>
          <w:i/>
        </w:rPr>
        <w:t xml:space="preserve">. </w:t>
      </w:r>
      <w:proofErr w:type="gramStart"/>
      <w:r w:rsidRPr="00503F81">
        <w:rPr>
          <w:rFonts w:ascii="Arial" w:hAnsi="Arial" w:cs="Arial"/>
          <w:i/>
        </w:rPr>
        <w:t>č.</w:t>
      </w:r>
      <w:proofErr w:type="gramEnd"/>
      <w:r w:rsidRPr="00503F81">
        <w:rPr>
          <w:rFonts w:ascii="Arial" w:hAnsi="Arial" w:cs="Arial"/>
          <w:i/>
        </w:rPr>
        <w:t xml:space="preserve"> 484/5 </w:t>
      </w:r>
    </w:p>
    <w:p w:rsidR="007F101A" w:rsidRPr="00DA1D68" w:rsidRDefault="007F101A" w:rsidP="00F9711E">
      <w:pPr>
        <w:pStyle w:val="Odstavecseseznamem"/>
        <w:numPr>
          <w:ilvl w:val="0"/>
          <w:numId w:val="1"/>
        </w:numPr>
        <w:autoSpaceDE/>
        <w:autoSpaceDN/>
        <w:spacing w:after="25" w:line="259" w:lineRule="auto"/>
        <w:ind w:left="426" w:right="118" w:hanging="284"/>
        <w:contextualSpacing/>
        <w:rPr>
          <w:rFonts w:ascii="Arial" w:hAnsi="Arial" w:cs="Arial"/>
          <w:strike/>
        </w:rPr>
      </w:pPr>
      <w:r w:rsidRPr="00DA1D68">
        <w:rPr>
          <w:rFonts w:ascii="Arial" w:hAnsi="Arial" w:cs="Arial"/>
        </w:rPr>
        <w:t xml:space="preserve">Prodejce nebo poskytovatel služby na tržním místě je oprávněn realizovat prodej jen na základě oznámení </w:t>
      </w:r>
      <w:r>
        <w:rPr>
          <w:rFonts w:ascii="Arial" w:hAnsi="Arial" w:cs="Arial"/>
        </w:rPr>
        <w:t xml:space="preserve">o </w:t>
      </w:r>
      <w:r w:rsidRPr="00DA1D68">
        <w:rPr>
          <w:rFonts w:ascii="Arial" w:hAnsi="Arial" w:cs="Arial"/>
        </w:rPr>
        <w:t xml:space="preserve">zahájení prodeje. </w:t>
      </w:r>
    </w:p>
    <w:p w:rsidR="007F101A" w:rsidRPr="00DA1D68" w:rsidRDefault="007F101A" w:rsidP="00F9711E">
      <w:pPr>
        <w:ind w:left="293" w:right="118" w:hanging="151"/>
        <w:rPr>
          <w:rFonts w:ascii="Arial" w:hAnsi="Arial" w:cs="Arial"/>
        </w:rPr>
      </w:pPr>
      <w:r w:rsidRPr="00DA1D68">
        <w:rPr>
          <w:rFonts w:ascii="Arial" w:hAnsi="Arial" w:cs="Arial"/>
        </w:rPr>
        <w:t>5)</w:t>
      </w:r>
      <w:r w:rsidRPr="00DA1D68">
        <w:rPr>
          <w:rFonts w:ascii="Arial" w:hAnsi="Arial" w:cs="Arial"/>
          <w:b/>
        </w:rPr>
        <w:t xml:space="preserve"> </w:t>
      </w:r>
      <w:r w:rsidR="00F9711E">
        <w:rPr>
          <w:rFonts w:ascii="Arial" w:hAnsi="Arial" w:cs="Arial"/>
          <w:b/>
        </w:rPr>
        <w:t xml:space="preserve"> </w:t>
      </w:r>
      <w:r w:rsidRPr="00517B80">
        <w:rPr>
          <w:rFonts w:ascii="Arial" w:hAnsi="Arial" w:cs="Arial"/>
          <w:b/>
        </w:rPr>
        <w:t>Na tržním místě je povolen pouze tento prodej:</w:t>
      </w:r>
      <w:r w:rsidRPr="00DA1D68">
        <w:rPr>
          <w:rFonts w:ascii="Arial" w:hAnsi="Arial" w:cs="Arial"/>
        </w:rPr>
        <w:t xml:space="preserve"> </w:t>
      </w:r>
    </w:p>
    <w:p w:rsidR="007F101A" w:rsidRPr="00DA1D68" w:rsidRDefault="007F101A" w:rsidP="007F101A">
      <w:pPr>
        <w:numPr>
          <w:ilvl w:val="0"/>
          <w:numId w:val="3"/>
        </w:numPr>
        <w:autoSpaceDE/>
        <w:autoSpaceDN/>
        <w:spacing w:after="24" w:line="259" w:lineRule="auto"/>
        <w:ind w:right="118" w:hanging="139"/>
        <w:rPr>
          <w:rFonts w:ascii="Arial" w:hAnsi="Arial" w:cs="Arial"/>
        </w:rPr>
      </w:pPr>
      <w:r w:rsidRPr="00DA1D68">
        <w:rPr>
          <w:rFonts w:ascii="Arial" w:hAnsi="Arial" w:cs="Arial"/>
          <w:i/>
        </w:rPr>
        <w:t xml:space="preserve">sezónní prodej ovoce, zeleniny a rostlých květin, sazenic, okrasných, ovocných a vánočních stromků, jmelí, </w:t>
      </w:r>
      <w:r>
        <w:rPr>
          <w:rFonts w:ascii="Arial" w:hAnsi="Arial" w:cs="Arial"/>
          <w:i/>
        </w:rPr>
        <w:t xml:space="preserve">  </w:t>
      </w:r>
      <w:r w:rsidRPr="00DA1D68">
        <w:rPr>
          <w:rFonts w:ascii="Arial" w:hAnsi="Arial" w:cs="Arial"/>
          <w:i/>
        </w:rPr>
        <w:t xml:space="preserve">kaprů, farmářských výrobků </w:t>
      </w:r>
    </w:p>
    <w:p w:rsidR="007F101A" w:rsidRPr="00DA1D68" w:rsidRDefault="007F101A" w:rsidP="007F101A">
      <w:pPr>
        <w:numPr>
          <w:ilvl w:val="0"/>
          <w:numId w:val="3"/>
        </w:numPr>
        <w:autoSpaceDE/>
        <w:autoSpaceDN/>
        <w:spacing w:after="20" w:line="259" w:lineRule="auto"/>
        <w:ind w:left="426" w:right="118"/>
        <w:rPr>
          <w:rFonts w:ascii="Arial" w:hAnsi="Arial" w:cs="Arial"/>
        </w:rPr>
      </w:pPr>
      <w:r w:rsidRPr="00DA1D68">
        <w:rPr>
          <w:rFonts w:ascii="Arial" w:hAnsi="Arial" w:cs="Arial"/>
          <w:i/>
        </w:rPr>
        <w:t xml:space="preserve">poskytování služeb (broušení, čistírna, opravy a prodej vajec z ložné plochy vozidla). </w:t>
      </w:r>
      <w:r w:rsidRPr="00DA1D68">
        <w:rPr>
          <w:rFonts w:ascii="Arial" w:hAnsi="Arial" w:cs="Arial"/>
          <w:b/>
        </w:rPr>
        <w:t xml:space="preserve"> </w:t>
      </w:r>
    </w:p>
    <w:p w:rsidR="007F101A" w:rsidRPr="00DA1D68" w:rsidRDefault="007F101A" w:rsidP="007F101A">
      <w:pPr>
        <w:numPr>
          <w:ilvl w:val="0"/>
          <w:numId w:val="4"/>
        </w:numPr>
        <w:autoSpaceDE/>
        <w:autoSpaceDN/>
        <w:spacing w:after="24" w:line="259" w:lineRule="auto"/>
        <w:ind w:left="426" w:right="118" w:hanging="284"/>
        <w:rPr>
          <w:rFonts w:ascii="Arial" w:hAnsi="Arial" w:cs="Arial"/>
        </w:rPr>
      </w:pPr>
      <w:r w:rsidRPr="00DA1D68">
        <w:rPr>
          <w:rFonts w:ascii="Arial" w:hAnsi="Arial" w:cs="Arial"/>
        </w:rPr>
        <w:t xml:space="preserve">Na tržním místě </w:t>
      </w:r>
      <w:r w:rsidRPr="00503F81">
        <w:rPr>
          <w:rFonts w:ascii="Arial" w:hAnsi="Arial" w:cs="Arial"/>
          <w:b/>
        </w:rPr>
        <w:t>je zakázáno</w:t>
      </w:r>
      <w:r w:rsidRPr="00DA1D68">
        <w:rPr>
          <w:rFonts w:ascii="Arial" w:hAnsi="Arial" w:cs="Arial"/>
        </w:rPr>
        <w:t xml:space="preserve"> prodávat rychle se kazící zboží potravinářského charakteru</w:t>
      </w:r>
      <w:r w:rsidRPr="00DA1D68">
        <w:rPr>
          <w:rFonts w:ascii="Arial" w:hAnsi="Arial" w:cs="Arial"/>
          <w:i/>
        </w:rPr>
        <w:t xml:space="preserve">.  </w:t>
      </w:r>
    </w:p>
    <w:p w:rsidR="007F101A" w:rsidRPr="00DA1D68" w:rsidRDefault="007F101A" w:rsidP="007F101A">
      <w:pPr>
        <w:numPr>
          <w:ilvl w:val="0"/>
          <w:numId w:val="4"/>
        </w:numPr>
        <w:autoSpaceDE/>
        <w:autoSpaceDN/>
        <w:spacing w:after="20" w:line="259" w:lineRule="auto"/>
        <w:ind w:left="426" w:right="118" w:hanging="284"/>
        <w:rPr>
          <w:rFonts w:ascii="Arial" w:hAnsi="Arial" w:cs="Arial"/>
        </w:rPr>
      </w:pPr>
      <w:r w:rsidRPr="00DA1D68">
        <w:rPr>
          <w:rFonts w:ascii="Arial" w:hAnsi="Arial" w:cs="Arial"/>
        </w:rPr>
        <w:t xml:space="preserve">Prodej na tržním místě se řídí tímto nařízením a ostatními obecně závaznými (zvláštními, speciálními) právními předpisy. </w:t>
      </w:r>
      <w:r w:rsidRPr="00DA1D68">
        <w:rPr>
          <w:rFonts w:ascii="Arial" w:hAnsi="Arial" w:cs="Arial"/>
          <w:b/>
          <w:i/>
        </w:rPr>
        <w:t xml:space="preserve">  </w:t>
      </w:r>
    </w:p>
    <w:p w:rsidR="007F101A" w:rsidRPr="00DA1D68" w:rsidRDefault="007F101A" w:rsidP="007F101A">
      <w:pPr>
        <w:numPr>
          <w:ilvl w:val="0"/>
          <w:numId w:val="4"/>
        </w:numPr>
        <w:autoSpaceDE/>
        <w:autoSpaceDN/>
        <w:spacing w:after="24" w:line="259" w:lineRule="auto"/>
        <w:ind w:left="426" w:right="118" w:hanging="284"/>
        <w:rPr>
          <w:rFonts w:ascii="Arial" w:hAnsi="Arial" w:cs="Arial"/>
        </w:rPr>
      </w:pPr>
      <w:r w:rsidRPr="00DA1D68">
        <w:rPr>
          <w:rFonts w:ascii="Arial" w:hAnsi="Arial" w:cs="Arial"/>
          <w:b/>
          <w:i/>
        </w:rPr>
        <w:t>Provozovatelem tržního místa</w:t>
      </w:r>
      <w:r w:rsidRPr="00DA1D68">
        <w:rPr>
          <w:rFonts w:ascii="Arial" w:hAnsi="Arial" w:cs="Arial"/>
        </w:rPr>
        <w:t xml:space="preserve"> (dále jen „provozovatel“) se pro účely tohoto nařízení rozumí Město Bystřice nad Pernštejnem. </w:t>
      </w:r>
    </w:p>
    <w:p w:rsidR="007F101A" w:rsidRPr="00DA1D68" w:rsidRDefault="007F101A" w:rsidP="007F101A">
      <w:pPr>
        <w:numPr>
          <w:ilvl w:val="0"/>
          <w:numId w:val="4"/>
        </w:numPr>
        <w:autoSpaceDE/>
        <w:autoSpaceDN/>
        <w:spacing w:after="7" w:line="276" w:lineRule="auto"/>
        <w:ind w:left="426" w:right="118" w:hanging="299"/>
        <w:jc w:val="both"/>
        <w:rPr>
          <w:rFonts w:ascii="Arial" w:hAnsi="Arial" w:cs="Arial"/>
        </w:rPr>
      </w:pPr>
      <w:r w:rsidRPr="00DA1D68">
        <w:rPr>
          <w:rFonts w:ascii="Arial" w:hAnsi="Arial" w:cs="Arial"/>
        </w:rPr>
        <w:t xml:space="preserve">Provozovatel může o svátcích, při slavnostech, při předvelikonočním a předvánočním prodeji, při sportovních podnicích nebo při jiných podobných akcích povolit prodej zboží rovněž na </w:t>
      </w:r>
      <w:r w:rsidRPr="00DA1D68">
        <w:rPr>
          <w:rFonts w:ascii="Arial" w:hAnsi="Arial" w:cs="Arial"/>
          <w:b/>
          <w:i/>
        </w:rPr>
        <w:t>mimořádných tržních místech</w:t>
      </w:r>
      <w:r w:rsidRPr="00DA1D68">
        <w:rPr>
          <w:rFonts w:ascii="Arial" w:hAnsi="Arial" w:cs="Arial"/>
        </w:rPr>
        <w:t xml:space="preserve">, kterými ve městě jsou: </w:t>
      </w:r>
    </w:p>
    <w:p w:rsidR="007F101A" w:rsidRPr="00DA1D68" w:rsidRDefault="007F101A" w:rsidP="007F101A">
      <w:pPr>
        <w:numPr>
          <w:ilvl w:val="1"/>
          <w:numId w:val="4"/>
        </w:numPr>
        <w:autoSpaceDE/>
        <w:autoSpaceDN/>
        <w:spacing w:after="24" w:line="259" w:lineRule="auto"/>
        <w:ind w:right="118" w:hanging="360"/>
        <w:rPr>
          <w:rFonts w:ascii="Arial" w:hAnsi="Arial" w:cs="Arial"/>
        </w:rPr>
      </w:pPr>
      <w:r w:rsidRPr="00DA1D68">
        <w:rPr>
          <w:rFonts w:ascii="Arial" w:hAnsi="Arial" w:cs="Arial"/>
          <w:i/>
        </w:rPr>
        <w:lastRenderedPageBreak/>
        <w:t xml:space="preserve">Masarykovo nám. v Bystřici nad Pernštejnem </w:t>
      </w:r>
    </w:p>
    <w:p w:rsidR="007F101A" w:rsidRPr="00DA1D68" w:rsidRDefault="007F101A" w:rsidP="007F101A">
      <w:pPr>
        <w:numPr>
          <w:ilvl w:val="1"/>
          <w:numId w:val="4"/>
        </w:numPr>
        <w:autoSpaceDE/>
        <w:autoSpaceDN/>
        <w:spacing w:after="24" w:line="259" w:lineRule="auto"/>
        <w:ind w:right="118" w:hanging="360"/>
        <w:rPr>
          <w:rFonts w:ascii="Arial" w:hAnsi="Arial" w:cs="Arial"/>
        </w:rPr>
      </w:pPr>
      <w:r w:rsidRPr="00DA1D68">
        <w:rPr>
          <w:rFonts w:ascii="Arial" w:hAnsi="Arial" w:cs="Arial"/>
          <w:i/>
        </w:rPr>
        <w:t xml:space="preserve">parkoviště u KD v Bystřici nad Pernštejnem  </w:t>
      </w:r>
    </w:p>
    <w:p w:rsidR="007F101A" w:rsidRPr="00DA1D68" w:rsidRDefault="0072001B" w:rsidP="007F101A">
      <w:pPr>
        <w:numPr>
          <w:ilvl w:val="1"/>
          <w:numId w:val="4"/>
        </w:numPr>
        <w:autoSpaceDE/>
        <w:autoSpaceDN/>
        <w:spacing w:after="25" w:line="259" w:lineRule="auto"/>
        <w:ind w:left="567" w:right="118" w:hanging="141"/>
        <w:rPr>
          <w:rFonts w:ascii="Arial" w:hAnsi="Arial" w:cs="Arial"/>
        </w:rPr>
      </w:pPr>
      <w:r>
        <w:rPr>
          <w:rFonts w:ascii="Arial" w:hAnsi="Arial" w:cs="Arial"/>
          <w:i/>
        </w:rPr>
        <w:t xml:space="preserve"> </w:t>
      </w:r>
      <w:r w:rsidR="007F101A" w:rsidRPr="00DA1D68">
        <w:rPr>
          <w:rFonts w:ascii="Arial" w:hAnsi="Arial" w:cs="Arial"/>
          <w:i/>
        </w:rPr>
        <w:t xml:space="preserve">území všech místních částí obce </w:t>
      </w:r>
      <w:r w:rsidR="007F101A" w:rsidRPr="00DA1D68">
        <w:rPr>
          <w:rFonts w:ascii="Arial" w:hAnsi="Arial" w:cs="Arial"/>
        </w:rPr>
        <w:t xml:space="preserve"> </w:t>
      </w:r>
    </w:p>
    <w:p w:rsidR="007F101A" w:rsidRPr="00DA1D68" w:rsidRDefault="007F101A" w:rsidP="007F101A">
      <w:pPr>
        <w:numPr>
          <w:ilvl w:val="0"/>
          <w:numId w:val="4"/>
        </w:numPr>
        <w:autoSpaceDE/>
        <w:autoSpaceDN/>
        <w:spacing w:after="23" w:line="259" w:lineRule="auto"/>
        <w:ind w:left="567" w:right="118" w:hanging="425"/>
        <w:jc w:val="both"/>
        <w:rPr>
          <w:rFonts w:ascii="Arial" w:hAnsi="Arial" w:cs="Arial"/>
        </w:rPr>
      </w:pPr>
      <w:r w:rsidRPr="00DA1D68">
        <w:rPr>
          <w:rFonts w:ascii="Arial" w:hAnsi="Arial" w:cs="Arial"/>
        </w:rPr>
        <w:t>Provozovatel tržního místa může povolit prodej zboží před provozovnou a vymezit místo, tzv. předsunutý prodej, na kterém se uskutečňuje prodej zboží nebo poskytnutí služby stejného druhu jako v provozovně určené k tomuto účelu kolaudačním rozhodnutím podle zvláštního předpisu.</w:t>
      </w:r>
      <w:r w:rsidRPr="00DA1D68">
        <w:rPr>
          <w:rFonts w:ascii="Arial" w:hAnsi="Arial" w:cs="Arial"/>
          <w:vertAlign w:val="superscript"/>
        </w:rPr>
        <w:t>(1</w:t>
      </w:r>
      <w:r w:rsidRPr="00DA1D68">
        <w:rPr>
          <w:rFonts w:ascii="Arial" w:hAnsi="Arial" w:cs="Arial"/>
        </w:rPr>
        <w:t xml:space="preserve">, se kterou předsunuté prodejní místo funkčně souvisí.   </w:t>
      </w:r>
    </w:p>
    <w:p w:rsidR="007F101A" w:rsidRPr="00DA1D68" w:rsidRDefault="007F101A" w:rsidP="007F101A">
      <w:pPr>
        <w:numPr>
          <w:ilvl w:val="0"/>
          <w:numId w:val="4"/>
        </w:numPr>
        <w:autoSpaceDE/>
        <w:autoSpaceDN/>
        <w:spacing w:after="24" w:line="259" w:lineRule="auto"/>
        <w:ind w:left="567" w:right="118" w:hanging="425"/>
        <w:jc w:val="both"/>
        <w:rPr>
          <w:rFonts w:ascii="Arial" w:hAnsi="Arial" w:cs="Arial"/>
        </w:rPr>
      </w:pPr>
      <w:r w:rsidRPr="00DA1D68">
        <w:rPr>
          <w:rFonts w:ascii="Arial" w:hAnsi="Arial" w:cs="Arial"/>
          <w:b/>
          <w:i/>
        </w:rPr>
        <w:t>Předsunuté prodejní místo</w:t>
      </w:r>
      <w:r w:rsidRPr="00DA1D68">
        <w:rPr>
          <w:rFonts w:ascii="Arial" w:hAnsi="Arial" w:cs="Arial"/>
        </w:rPr>
        <w:t xml:space="preserve"> je zřizované v těsné blízkosti přímo před vlastní provozovnou a musí míst stejného provozovatele. Prodej nebo poskytování služeb může být prováděno pouze na prodejních pultech nebo obdobných zařízeních. Podmínky prodeje určuje orgán města Bystřice nad Pernštejnem, který je touto činností pověřen radou města.      </w:t>
      </w:r>
    </w:p>
    <w:p w:rsidR="007F101A" w:rsidRPr="00DA1D68" w:rsidRDefault="007F101A" w:rsidP="007F101A">
      <w:pPr>
        <w:numPr>
          <w:ilvl w:val="0"/>
          <w:numId w:val="4"/>
        </w:numPr>
        <w:autoSpaceDE/>
        <w:autoSpaceDN/>
        <w:spacing w:after="24" w:line="259" w:lineRule="auto"/>
        <w:ind w:left="567" w:right="118" w:hanging="425"/>
        <w:jc w:val="both"/>
        <w:rPr>
          <w:rFonts w:ascii="Arial" w:hAnsi="Arial" w:cs="Arial"/>
        </w:rPr>
      </w:pPr>
      <w:r w:rsidRPr="00DA1D68">
        <w:rPr>
          <w:rFonts w:ascii="Arial" w:hAnsi="Arial" w:cs="Arial"/>
        </w:rPr>
        <w:t xml:space="preserve">Využívání tržního místa mimo provozní dobu k jiným účelům (výstavy aj.) je možné jen na základě povolení provozovatele.  </w:t>
      </w:r>
    </w:p>
    <w:p w:rsidR="007F101A" w:rsidRPr="00DA1D68" w:rsidRDefault="007F101A" w:rsidP="007F101A">
      <w:pPr>
        <w:numPr>
          <w:ilvl w:val="0"/>
          <w:numId w:val="4"/>
        </w:numPr>
        <w:autoSpaceDE/>
        <w:autoSpaceDN/>
        <w:spacing w:after="12" w:line="270" w:lineRule="auto"/>
        <w:ind w:left="567" w:right="118" w:hanging="425"/>
        <w:jc w:val="both"/>
        <w:rPr>
          <w:rFonts w:ascii="Arial" w:hAnsi="Arial" w:cs="Arial"/>
        </w:rPr>
      </w:pPr>
      <w:r w:rsidRPr="00DA1D68">
        <w:rPr>
          <w:rFonts w:ascii="Arial" w:hAnsi="Arial" w:cs="Arial"/>
          <w:b/>
          <w:i/>
        </w:rPr>
        <w:t>Trh</w:t>
      </w:r>
      <w:r w:rsidRPr="00DA1D68">
        <w:rPr>
          <w:rFonts w:ascii="Arial" w:hAnsi="Arial" w:cs="Arial"/>
          <w:b/>
        </w:rPr>
        <w:t xml:space="preserve"> </w:t>
      </w:r>
      <w:r w:rsidRPr="00FA16E0">
        <w:rPr>
          <w:rFonts w:ascii="Arial" w:hAnsi="Arial" w:cs="Arial"/>
        </w:rPr>
        <w:t xml:space="preserve">– </w:t>
      </w:r>
      <w:r w:rsidRPr="00DA1D68">
        <w:rPr>
          <w:rFonts w:ascii="Arial" w:hAnsi="Arial" w:cs="Arial"/>
        </w:rPr>
        <w:t xml:space="preserve">soubor prodejních míst určených k příležitostnému soustředěnému prodeji zboží nebo poskytování služeb více prodejci, obvykle v pravidelných pevně stanovených dnech. Na prodej zboží nebo poskytování služeb v době konání pravidelných trhů se nevztahuje omezení sortimentu dle čl. 1 odst. 5 a 6 tohoto nařízení. Na trhu je povolen prodej i potravinářských výrobků za předpokladu dodržení platných hygienických a veterinárních předpisů. </w:t>
      </w:r>
    </w:p>
    <w:p w:rsidR="007F101A" w:rsidRPr="00DA1D68" w:rsidRDefault="007F101A" w:rsidP="007F101A">
      <w:pPr>
        <w:spacing w:after="24" w:line="259" w:lineRule="auto"/>
        <w:ind w:left="142" w:right="118"/>
        <w:rPr>
          <w:rFonts w:ascii="Arial" w:hAnsi="Arial" w:cs="Arial"/>
        </w:rPr>
      </w:pP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Článek 2</w:t>
      </w:r>
    </w:p>
    <w:p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Kapacita a vybavenost tržního místa </w:t>
      </w:r>
    </w:p>
    <w:p w:rsidR="007F101A" w:rsidRPr="00DA1D68" w:rsidRDefault="007F101A" w:rsidP="007F101A">
      <w:pPr>
        <w:numPr>
          <w:ilvl w:val="0"/>
          <w:numId w:val="5"/>
        </w:numPr>
        <w:autoSpaceDE/>
        <w:autoSpaceDN/>
        <w:spacing w:after="12" w:line="270" w:lineRule="auto"/>
        <w:ind w:right="118" w:hanging="283"/>
        <w:jc w:val="both"/>
        <w:rPr>
          <w:rFonts w:ascii="Arial" w:hAnsi="Arial" w:cs="Arial"/>
        </w:rPr>
      </w:pPr>
      <w:r w:rsidRPr="00DA1D68">
        <w:rPr>
          <w:rFonts w:ascii="Arial" w:hAnsi="Arial" w:cs="Arial"/>
        </w:rPr>
        <w:t xml:space="preserve">Množství prodejních zařízení na tržních místech určuje provozovatel tržních míst.  </w:t>
      </w:r>
    </w:p>
    <w:p w:rsidR="007F101A" w:rsidRPr="00DA1D68" w:rsidRDefault="007F101A" w:rsidP="007F101A">
      <w:pPr>
        <w:numPr>
          <w:ilvl w:val="0"/>
          <w:numId w:val="5"/>
        </w:numPr>
        <w:autoSpaceDE/>
        <w:autoSpaceDN/>
        <w:spacing w:after="12" w:line="270" w:lineRule="auto"/>
        <w:ind w:right="118" w:hanging="283"/>
        <w:jc w:val="both"/>
        <w:rPr>
          <w:rFonts w:ascii="Arial" w:hAnsi="Arial" w:cs="Arial"/>
        </w:rPr>
      </w:pPr>
      <w:r w:rsidRPr="00DA1D68">
        <w:rPr>
          <w:rFonts w:ascii="Arial" w:hAnsi="Arial" w:cs="Arial"/>
          <w:b/>
          <w:i/>
        </w:rPr>
        <w:t>Prodejním zařízením</w:t>
      </w:r>
      <w:r w:rsidRPr="00DA1D68">
        <w:rPr>
          <w:rFonts w:ascii="Arial" w:hAnsi="Arial" w:cs="Arial"/>
        </w:rPr>
        <w:t xml:space="preserve"> se rozumí krytý stánek, prodejní pult, pojízdná prodejna a obdobné zařízení  </w:t>
      </w:r>
    </w:p>
    <w:p w:rsidR="007F101A" w:rsidRPr="00DA1D68" w:rsidRDefault="007F101A" w:rsidP="007F101A">
      <w:pPr>
        <w:spacing w:after="24" w:line="259" w:lineRule="auto"/>
        <w:ind w:left="142" w:right="118"/>
        <w:rPr>
          <w:rFonts w:ascii="Arial" w:hAnsi="Arial" w:cs="Arial"/>
        </w:rPr>
      </w:pPr>
      <w:r w:rsidRPr="00DA1D68">
        <w:rPr>
          <w:rFonts w:ascii="Arial" w:hAnsi="Arial" w:cs="Arial"/>
          <w:b/>
        </w:rPr>
        <w:t xml:space="preserve">  </w:t>
      </w: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3</w:t>
      </w:r>
    </w:p>
    <w:p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Pravidla pro udržování čistoty a bezpečnosti </w:t>
      </w:r>
    </w:p>
    <w:p w:rsidR="007F101A" w:rsidRPr="00DA1D68" w:rsidRDefault="007F101A" w:rsidP="007F101A">
      <w:pPr>
        <w:numPr>
          <w:ilvl w:val="0"/>
          <w:numId w:val="6"/>
        </w:numPr>
        <w:autoSpaceDE/>
        <w:autoSpaceDN/>
        <w:spacing w:after="12" w:line="270" w:lineRule="auto"/>
        <w:ind w:right="118" w:hanging="283"/>
        <w:jc w:val="both"/>
        <w:rPr>
          <w:rFonts w:ascii="Arial" w:hAnsi="Arial" w:cs="Arial"/>
        </w:rPr>
      </w:pPr>
      <w:r w:rsidRPr="00DA1D68">
        <w:rPr>
          <w:rFonts w:ascii="Arial" w:hAnsi="Arial" w:cs="Arial"/>
        </w:rPr>
        <w:t xml:space="preserve">Prodejce nebo poskytovatel služby na tržním místě (dále jen „prodejce“) je povinen udržovat v čistotě tržní místo a jeho okolí určené provozovatelem tržního místa a zabezpečit, aby prodej a poskytování služeb neohrožoval bezpečnost osob a majetku, bezpečný průchod, dodržování čistoty, pořádku a vzhledu prodejních zařízení. </w:t>
      </w:r>
    </w:p>
    <w:p w:rsidR="007F101A" w:rsidRPr="00DA1D68" w:rsidRDefault="007F101A" w:rsidP="007F101A">
      <w:pPr>
        <w:numPr>
          <w:ilvl w:val="0"/>
          <w:numId w:val="6"/>
        </w:numPr>
        <w:autoSpaceDE/>
        <w:autoSpaceDN/>
        <w:spacing w:after="7" w:line="276" w:lineRule="auto"/>
        <w:ind w:right="118" w:hanging="283"/>
        <w:jc w:val="both"/>
        <w:rPr>
          <w:rFonts w:ascii="Arial" w:hAnsi="Arial" w:cs="Arial"/>
        </w:rPr>
      </w:pPr>
      <w:r w:rsidRPr="00DA1D68">
        <w:rPr>
          <w:rFonts w:ascii="Arial" w:hAnsi="Arial" w:cs="Arial"/>
        </w:rPr>
        <w:t>Prodejce má povinnost vzniklý odpad likvidovat podle příslušného právního předpisu</w:t>
      </w:r>
      <w:r>
        <w:rPr>
          <w:rFonts w:ascii="Arial" w:hAnsi="Arial" w:cs="Arial"/>
        </w:rPr>
        <w:t xml:space="preserve"> (</w:t>
      </w:r>
      <w:r w:rsidRPr="00DA1D68">
        <w:rPr>
          <w:rFonts w:ascii="Arial" w:hAnsi="Arial" w:cs="Arial"/>
        </w:rPr>
        <w:t>zákon č. 541/2020 Sb., o odpadech, ve znění pozdějších předpisů</w:t>
      </w:r>
      <w:r>
        <w:rPr>
          <w:rFonts w:ascii="Arial" w:hAnsi="Arial" w:cs="Arial"/>
        </w:rPr>
        <w:t>).</w:t>
      </w:r>
      <w:r w:rsidRPr="00DA1D68">
        <w:rPr>
          <w:rFonts w:ascii="Arial" w:hAnsi="Arial" w:cs="Arial"/>
        </w:rPr>
        <w:t xml:space="preserve"> </w:t>
      </w:r>
      <w:r w:rsidRPr="00DA1D68">
        <w:rPr>
          <w:rFonts w:ascii="Arial" w:hAnsi="Arial" w:cs="Arial"/>
          <w:vertAlign w:val="superscript"/>
        </w:rPr>
        <w:t xml:space="preserve"> </w:t>
      </w:r>
    </w:p>
    <w:p w:rsidR="007F101A" w:rsidRPr="00DA1D68" w:rsidRDefault="007F101A" w:rsidP="007F101A">
      <w:pPr>
        <w:numPr>
          <w:ilvl w:val="0"/>
          <w:numId w:val="6"/>
        </w:numPr>
        <w:autoSpaceDE/>
        <w:autoSpaceDN/>
        <w:spacing w:after="7" w:line="276" w:lineRule="auto"/>
        <w:ind w:right="118" w:hanging="283"/>
        <w:jc w:val="both"/>
        <w:rPr>
          <w:rFonts w:ascii="Arial" w:hAnsi="Arial" w:cs="Arial"/>
        </w:rPr>
      </w:pPr>
      <w:r w:rsidRPr="00DA1D68">
        <w:rPr>
          <w:rFonts w:ascii="Arial" w:hAnsi="Arial" w:cs="Arial"/>
        </w:rPr>
        <w:t xml:space="preserve">Každý je povinen uposlechnout pokynů provozovatele tržního místa k zajištění čistoty a bezpečnosti. </w:t>
      </w:r>
    </w:p>
    <w:p w:rsidR="007F101A" w:rsidRPr="00DA1D68" w:rsidRDefault="007F101A" w:rsidP="007F101A">
      <w:pPr>
        <w:ind w:left="137" w:right="118"/>
        <w:jc w:val="both"/>
        <w:rPr>
          <w:rFonts w:ascii="Arial" w:hAnsi="Arial" w:cs="Arial"/>
        </w:rPr>
      </w:pPr>
      <w:r w:rsidRPr="00DA1D68">
        <w:rPr>
          <w:rFonts w:ascii="Arial" w:hAnsi="Arial" w:cs="Arial"/>
        </w:rPr>
        <w:t xml:space="preserve">4) </w:t>
      </w:r>
      <w:r>
        <w:rPr>
          <w:rFonts w:ascii="Arial" w:hAnsi="Arial" w:cs="Arial"/>
        </w:rPr>
        <w:t xml:space="preserve"> </w:t>
      </w:r>
      <w:r w:rsidRPr="00DA1D68">
        <w:rPr>
          <w:rFonts w:ascii="Arial" w:hAnsi="Arial" w:cs="Arial"/>
        </w:rPr>
        <w:t xml:space="preserve">Prodávající je povinen po skončení prodeje uvést tržní místo do původního stavu. </w:t>
      </w:r>
    </w:p>
    <w:p w:rsidR="007F101A" w:rsidRPr="00DA1D68" w:rsidRDefault="007F101A" w:rsidP="007F101A">
      <w:pPr>
        <w:spacing w:after="29" w:line="259" w:lineRule="auto"/>
        <w:ind w:left="142" w:right="118"/>
        <w:jc w:val="both"/>
        <w:rPr>
          <w:rFonts w:ascii="Arial" w:hAnsi="Arial" w:cs="Arial"/>
        </w:rPr>
      </w:pPr>
      <w:r w:rsidRPr="00DA1D68">
        <w:rPr>
          <w:rFonts w:ascii="Arial" w:hAnsi="Arial" w:cs="Arial"/>
        </w:rPr>
        <w:t xml:space="preserve"> </w:t>
      </w: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4</w:t>
      </w:r>
    </w:p>
    <w:p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Zakázané druhy prodeje zboží a poskytování služeb </w:t>
      </w:r>
    </w:p>
    <w:p w:rsidR="007F101A" w:rsidRPr="00DA1D68" w:rsidRDefault="007F101A" w:rsidP="007F101A">
      <w:pPr>
        <w:numPr>
          <w:ilvl w:val="0"/>
          <w:numId w:val="7"/>
        </w:numPr>
        <w:autoSpaceDE/>
        <w:autoSpaceDN/>
        <w:spacing w:after="12" w:line="270" w:lineRule="auto"/>
        <w:ind w:right="118" w:hanging="283"/>
        <w:jc w:val="both"/>
        <w:rPr>
          <w:rFonts w:ascii="Arial" w:hAnsi="Arial" w:cs="Arial"/>
        </w:rPr>
      </w:pPr>
      <w:r w:rsidRPr="00DA1D68">
        <w:rPr>
          <w:rFonts w:ascii="Arial" w:hAnsi="Arial" w:cs="Arial"/>
        </w:rPr>
        <w:t xml:space="preserve">Na celém území města Bystřice nad Pernštejnem je zakázán tzv. podomní prodej a nabídky služeb.  </w:t>
      </w:r>
    </w:p>
    <w:p w:rsidR="007F101A" w:rsidRPr="00DA1D68" w:rsidRDefault="007F101A" w:rsidP="007F101A">
      <w:pPr>
        <w:numPr>
          <w:ilvl w:val="0"/>
          <w:numId w:val="7"/>
        </w:numPr>
        <w:autoSpaceDE/>
        <w:autoSpaceDN/>
        <w:spacing w:after="12" w:line="270" w:lineRule="auto"/>
        <w:ind w:right="118" w:hanging="283"/>
        <w:jc w:val="both"/>
        <w:rPr>
          <w:rFonts w:ascii="Arial" w:hAnsi="Arial" w:cs="Arial"/>
        </w:rPr>
      </w:pPr>
      <w:r w:rsidRPr="00DA1D68">
        <w:rPr>
          <w:rFonts w:ascii="Arial" w:hAnsi="Arial" w:cs="Arial"/>
        </w:rPr>
        <w:t xml:space="preserve">Podomním prodejem a nabídkou služeb se pro účely tohoto nařízení rozumí takový prodej a nabídka služeb, kdy je bez předchozí objednávky dům od domu mimo shora uvedené stálé a mimořádné tržní místo nabízeno a prodáváno zboží či služby. </w:t>
      </w:r>
    </w:p>
    <w:p w:rsidR="007F101A" w:rsidRPr="00DA1D68" w:rsidRDefault="007F101A" w:rsidP="007F101A">
      <w:pPr>
        <w:spacing w:after="24" w:line="259" w:lineRule="auto"/>
        <w:ind w:left="142" w:right="118"/>
        <w:rPr>
          <w:rFonts w:ascii="Arial" w:hAnsi="Arial" w:cs="Arial"/>
        </w:rPr>
      </w:pP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5</w:t>
      </w:r>
    </w:p>
    <w:p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Podmínky prodeje </w:t>
      </w:r>
    </w:p>
    <w:p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Prodejce, nebo poskytovatel služby je povinen před zahájením prodeje </w:t>
      </w:r>
    </w:p>
    <w:p w:rsidR="007F101A" w:rsidRPr="00DA1D68" w:rsidRDefault="007F101A" w:rsidP="007F101A">
      <w:pPr>
        <w:numPr>
          <w:ilvl w:val="1"/>
          <w:numId w:val="8"/>
        </w:numPr>
        <w:autoSpaceDE/>
        <w:autoSpaceDN/>
        <w:spacing w:after="12" w:line="270" w:lineRule="auto"/>
        <w:ind w:right="118" w:hanging="283"/>
        <w:jc w:val="both"/>
        <w:rPr>
          <w:rFonts w:ascii="Arial" w:hAnsi="Arial" w:cs="Arial"/>
        </w:rPr>
      </w:pPr>
      <w:r w:rsidRPr="00DA1D68">
        <w:rPr>
          <w:rFonts w:ascii="Arial" w:hAnsi="Arial" w:cs="Arial"/>
        </w:rPr>
        <w:t>oznámit zahájení prodeje Městskému úřadu v Bystřici nad Pernštejnem, odboru správy majetku a investic</w:t>
      </w:r>
    </w:p>
    <w:p w:rsidR="007F101A" w:rsidRPr="00DA1D68" w:rsidRDefault="007F101A" w:rsidP="007F101A">
      <w:pPr>
        <w:numPr>
          <w:ilvl w:val="1"/>
          <w:numId w:val="8"/>
        </w:numPr>
        <w:autoSpaceDE/>
        <w:autoSpaceDN/>
        <w:spacing w:after="24" w:line="259" w:lineRule="auto"/>
        <w:ind w:left="567" w:right="118" w:hanging="283"/>
        <w:jc w:val="both"/>
        <w:rPr>
          <w:rFonts w:ascii="Arial" w:hAnsi="Arial" w:cs="Arial"/>
        </w:rPr>
      </w:pPr>
      <w:r w:rsidRPr="00DA1D68">
        <w:rPr>
          <w:rFonts w:ascii="Arial" w:hAnsi="Arial" w:cs="Arial"/>
        </w:rPr>
        <w:t xml:space="preserve">zaplatit </w:t>
      </w:r>
      <w:r>
        <w:rPr>
          <w:rFonts w:ascii="Arial" w:hAnsi="Arial" w:cs="Arial"/>
        </w:rPr>
        <w:t xml:space="preserve">nájemné </w:t>
      </w:r>
      <w:r w:rsidRPr="00DA1D68">
        <w:rPr>
          <w:rFonts w:ascii="Arial" w:hAnsi="Arial" w:cs="Arial"/>
        </w:rPr>
        <w:t xml:space="preserve">dle platné směrnice města O nájemném a o dalších podmínkách, za kterých lze užívat pozemky ve vlastnictví města a uchovat stvrzenku o zaplacení po dobu nájmu či prodeje ke kontrolním účelům.  </w:t>
      </w:r>
    </w:p>
    <w:p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Stánek, nebo prodejní pult musí být na vhodném a viditelném místě označen: </w:t>
      </w:r>
    </w:p>
    <w:p w:rsidR="007F101A" w:rsidRPr="00DA1D68" w:rsidRDefault="007F101A" w:rsidP="007F101A">
      <w:pPr>
        <w:numPr>
          <w:ilvl w:val="1"/>
          <w:numId w:val="8"/>
        </w:numPr>
        <w:autoSpaceDE/>
        <w:autoSpaceDN/>
        <w:spacing w:after="12" w:line="270" w:lineRule="auto"/>
        <w:ind w:right="118" w:hanging="283"/>
        <w:jc w:val="both"/>
        <w:rPr>
          <w:rFonts w:ascii="Arial" w:hAnsi="Arial" w:cs="Arial"/>
        </w:rPr>
      </w:pPr>
      <w:r w:rsidRPr="00DA1D68">
        <w:rPr>
          <w:rFonts w:ascii="Arial" w:hAnsi="Arial" w:cs="Arial"/>
        </w:rPr>
        <w:t xml:space="preserve">právnická osoba - obchodní firma (název), sídlo, IČ, jméno a příjmení osoby odpovědné za činnost provozovny </w:t>
      </w:r>
    </w:p>
    <w:p w:rsidR="007F101A" w:rsidRPr="00DA1D68" w:rsidRDefault="007F101A" w:rsidP="007F101A">
      <w:pPr>
        <w:numPr>
          <w:ilvl w:val="1"/>
          <w:numId w:val="8"/>
        </w:numPr>
        <w:autoSpaceDE/>
        <w:autoSpaceDN/>
        <w:spacing w:after="25" w:line="259" w:lineRule="auto"/>
        <w:ind w:left="567" w:right="118" w:hanging="283"/>
        <w:jc w:val="both"/>
        <w:rPr>
          <w:rFonts w:ascii="Arial" w:hAnsi="Arial" w:cs="Arial"/>
        </w:rPr>
      </w:pPr>
      <w:r w:rsidRPr="00DA1D68">
        <w:rPr>
          <w:rFonts w:ascii="Arial" w:hAnsi="Arial" w:cs="Arial"/>
        </w:rPr>
        <w:t xml:space="preserve">fyzická osoba, podnikatel - obchodní firma (název), sídlo, IČ, jméno a příjmení osoby odpovědné za činnost provozovny.  </w:t>
      </w:r>
    </w:p>
    <w:p w:rsidR="007F101A" w:rsidRPr="00DA1D68" w:rsidRDefault="007F101A" w:rsidP="007F101A">
      <w:pPr>
        <w:numPr>
          <w:ilvl w:val="0"/>
          <w:numId w:val="8"/>
        </w:numPr>
        <w:autoSpaceDE/>
        <w:autoSpaceDN/>
        <w:spacing w:after="25" w:line="259" w:lineRule="auto"/>
        <w:ind w:left="426" w:right="118" w:hanging="284"/>
        <w:jc w:val="both"/>
        <w:rPr>
          <w:rFonts w:ascii="Arial" w:hAnsi="Arial" w:cs="Arial"/>
        </w:rPr>
      </w:pPr>
      <w:r w:rsidRPr="00DA1D68">
        <w:rPr>
          <w:rFonts w:ascii="Arial" w:hAnsi="Arial" w:cs="Arial"/>
        </w:rPr>
        <w:lastRenderedPageBreak/>
        <w:t xml:space="preserve">Prodávající nesmí o zboží uvádět zkreslené nebo nepravdivé údaje.  </w:t>
      </w:r>
    </w:p>
    <w:p w:rsidR="007F101A" w:rsidRPr="00DA1D68" w:rsidRDefault="007F101A" w:rsidP="007F101A">
      <w:pPr>
        <w:numPr>
          <w:ilvl w:val="0"/>
          <w:numId w:val="8"/>
        </w:numPr>
        <w:autoSpaceDE/>
        <w:autoSpaceDN/>
        <w:spacing w:after="25" w:line="259" w:lineRule="auto"/>
        <w:ind w:left="426" w:right="118" w:hanging="284"/>
        <w:jc w:val="both"/>
        <w:rPr>
          <w:rFonts w:ascii="Arial" w:hAnsi="Arial" w:cs="Arial"/>
        </w:rPr>
      </w:pPr>
      <w:r w:rsidRPr="00DA1D68">
        <w:rPr>
          <w:rFonts w:ascii="Arial" w:hAnsi="Arial" w:cs="Arial"/>
        </w:rPr>
        <w:t xml:space="preserve">Na tržním místě je zakázáno hrát hazardní a tomu podobné hry.  </w:t>
      </w:r>
    </w:p>
    <w:p w:rsidR="007F101A" w:rsidRPr="00DA1D68" w:rsidRDefault="007F101A" w:rsidP="007F101A">
      <w:pPr>
        <w:numPr>
          <w:ilvl w:val="0"/>
          <w:numId w:val="8"/>
        </w:numPr>
        <w:autoSpaceDE/>
        <w:autoSpaceDN/>
        <w:spacing w:line="259" w:lineRule="auto"/>
        <w:ind w:left="426" w:right="118" w:hanging="284"/>
        <w:jc w:val="both"/>
        <w:rPr>
          <w:rFonts w:ascii="Arial" w:hAnsi="Arial" w:cs="Arial"/>
        </w:rPr>
      </w:pPr>
      <w:r w:rsidRPr="00DA1D68">
        <w:rPr>
          <w:rFonts w:ascii="Arial" w:hAnsi="Arial" w:cs="Arial"/>
        </w:rPr>
        <w:t xml:space="preserve">Pro stánky nebo prodejní pulty nesmí být budovány zařízení k jejich pevnému spojení se zemí tržního místa  </w:t>
      </w:r>
    </w:p>
    <w:p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Není povoleno ponechávat vlastní stánky na tržních místech, nejsou-li tržní místa v provozu. </w:t>
      </w:r>
    </w:p>
    <w:p w:rsidR="007F101A" w:rsidRPr="00DA1D68" w:rsidRDefault="007F101A" w:rsidP="007F101A">
      <w:pPr>
        <w:spacing w:line="259" w:lineRule="auto"/>
        <w:ind w:left="142" w:right="118"/>
        <w:rPr>
          <w:rFonts w:ascii="Arial" w:hAnsi="Arial" w:cs="Arial"/>
        </w:rPr>
      </w:pPr>
      <w:r w:rsidRPr="00DA1D68">
        <w:rPr>
          <w:rFonts w:ascii="Arial" w:hAnsi="Arial" w:cs="Arial"/>
        </w:rPr>
        <w:t xml:space="preserve">  </w:t>
      </w:r>
    </w:p>
    <w:p w:rsidR="007F101A" w:rsidRPr="00DA1D68" w:rsidRDefault="007F101A" w:rsidP="007F101A">
      <w:pPr>
        <w:spacing w:line="259" w:lineRule="auto"/>
        <w:ind w:left="137" w:right="118"/>
        <w:jc w:val="center"/>
        <w:rPr>
          <w:rFonts w:ascii="Arial" w:hAnsi="Arial" w:cs="Arial"/>
          <w:b/>
        </w:rPr>
      </w:pPr>
      <w:r w:rsidRPr="00DA1D68">
        <w:rPr>
          <w:rFonts w:ascii="Arial" w:hAnsi="Arial" w:cs="Arial"/>
          <w:b/>
        </w:rPr>
        <w:t xml:space="preserve">Článek </w:t>
      </w:r>
      <w:r>
        <w:rPr>
          <w:rFonts w:ascii="Arial" w:hAnsi="Arial" w:cs="Arial"/>
          <w:b/>
        </w:rPr>
        <w:t>6</w:t>
      </w:r>
    </w:p>
    <w:p w:rsidR="007F101A" w:rsidRPr="00DA1D68" w:rsidRDefault="007F101A" w:rsidP="007F101A">
      <w:pPr>
        <w:spacing w:line="259" w:lineRule="auto"/>
        <w:ind w:left="137" w:right="118"/>
        <w:jc w:val="center"/>
        <w:rPr>
          <w:rFonts w:ascii="Arial" w:hAnsi="Arial" w:cs="Arial"/>
        </w:rPr>
      </w:pPr>
      <w:r w:rsidRPr="00DA1D68">
        <w:rPr>
          <w:rFonts w:ascii="Arial" w:hAnsi="Arial" w:cs="Arial"/>
          <w:b/>
        </w:rPr>
        <w:t>Sankce</w:t>
      </w:r>
    </w:p>
    <w:p w:rsidR="007F101A" w:rsidRPr="00DA1D68" w:rsidRDefault="007F101A" w:rsidP="007F101A">
      <w:pPr>
        <w:spacing w:after="1" w:line="259" w:lineRule="auto"/>
        <w:ind w:left="142" w:right="118"/>
        <w:jc w:val="both"/>
        <w:rPr>
          <w:rFonts w:ascii="Arial" w:hAnsi="Arial" w:cs="Arial"/>
        </w:rPr>
      </w:pPr>
      <w:r w:rsidRPr="00DA1D68">
        <w:rPr>
          <w:rFonts w:ascii="Arial" w:hAnsi="Arial" w:cs="Arial"/>
        </w:rPr>
        <w:t>Porušení tohoto nařízení se postihuje podle zvláštních právních předpisů</w:t>
      </w:r>
      <w:r>
        <w:rPr>
          <w:rFonts w:ascii="Arial" w:hAnsi="Arial" w:cs="Arial"/>
        </w:rPr>
        <w:t xml:space="preserve"> (</w:t>
      </w:r>
      <w:r w:rsidRPr="00DA1D68">
        <w:rPr>
          <w:rFonts w:ascii="Arial" w:hAnsi="Arial" w:cs="Arial"/>
        </w:rPr>
        <w:t>zákon č. 251/2016 Sb., zákon o některých přestupcích, ve znění pozdějších předpisů</w:t>
      </w:r>
      <w:r>
        <w:rPr>
          <w:rFonts w:ascii="Arial" w:hAnsi="Arial" w:cs="Arial"/>
        </w:rPr>
        <w:t xml:space="preserve">). </w:t>
      </w:r>
      <w:r w:rsidRPr="00DA1D68">
        <w:rPr>
          <w:rFonts w:ascii="Arial" w:hAnsi="Arial" w:cs="Arial"/>
          <w:vertAlign w:val="superscript"/>
        </w:rPr>
        <w:t xml:space="preserve"> </w:t>
      </w:r>
    </w:p>
    <w:p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rsidR="007F101A" w:rsidRPr="00DA1D68" w:rsidRDefault="007F101A" w:rsidP="007F101A">
      <w:pPr>
        <w:spacing w:line="259" w:lineRule="auto"/>
        <w:ind w:left="142" w:right="118"/>
        <w:jc w:val="center"/>
        <w:rPr>
          <w:rFonts w:ascii="Arial" w:hAnsi="Arial" w:cs="Arial"/>
          <w:b/>
        </w:rPr>
      </w:pPr>
      <w:r w:rsidRPr="00DA1D68">
        <w:rPr>
          <w:rFonts w:ascii="Arial" w:hAnsi="Arial" w:cs="Arial"/>
          <w:b/>
        </w:rPr>
        <w:t xml:space="preserve">Článek </w:t>
      </w:r>
      <w:r>
        <w:rPr>
          <w:rFonts w:ascii="Arial" w:hAnsi="Arial" w:cs="Arial"/>
          <w:b/>
        </w:rPr>
        <w:t>7</w:t>
      </w:r>
    </w:p>
    <w:p w:rsidR="007F101A" w:rsidRPr="00DA1D68" w:rsidRDefault="007F101A" w:rsidP="007F101A">
      <w:pPr>
        <w:spacing w:line="259" w:lineRule="auto"/>
        <w:ind w:left="137" w:right="118"/>
        <w:jc w:val="center"/>
        <w:rPr>
          <w:rFonts w:ascii="Arial" w:hAnsi="Arial" w:cs="Arial"/>
        </w:rPr>
      </w:pPr>
      <w:r w:rsidRPr="00DA1D68">
        <w:rPr>
          <w:rFonts w:ascii="Arial" w:hAnsi="Arial" w:cs="Arial"/>
          <w:b/>
        </w:rPr>
        <w:t>Společná ustanovení</w:t>
      </w:r>
    </w:p>
    <w:p w:rsidR="007F101A" w:rsidRPr="00DA1D68" w:rsidRDefault="007F101A" w:rsidP="007F101A">
      <w:pPr>
        <w:spacing w:after="19" w:line="259" w:lineRule="auto"/>
        <w:ind w:left="142" w:right="118"/>
        <w:rPr>
          <w:rFonts w:ascii="Arial" w:hAnsi="Arial" w:cs="Arial"/>
        </w:rPr>
      </w:pPr>
      <w:r w:rsidRPr="00DA1D68">
        <w:rPr>
          <w:rFonts w:ascii="Arial" w:hAnsi="Arial" w:cs="Arial"/>
        </w:rPr>
        <w:t xml:space="preserve">Tržním řádem nejsou dotčena ustanovení zvláštních předpisů upravujících prodej zboží. </w:t>
      </w:r>
    </w:p>
    <w:p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rsidR="007F101A" w:rsidRPr="00DA1D68" w:rsidRDefault="007F101A" w:rsidP="007F101A">
      <w:pPr>
        <w:spacing w:line="259" w:lineRule="auto"/>
        <w:ind w:left="142" w:right="118"/>
        <w:jc w:val="center"/>
        <w:rPr>
          <w:rFonts w:ascii="Arial" w:hAnsi="Arial" w:cs="Arial"/>
          <w:b/>
        </w:rPr>
      </w:pPr>
      <w:r w:rsidRPr="00DA1D68">
        <w:rPr>
          <w:rFonts w:ascii="Arial" w:hAnsi="Arial" w:cs="Arial"/>
          <w:b/>
        </w:rPr>
        <w:t xml:space="preserve">Článek </w:t>
      </w:r>
      <w:r>
        <w:rPr>
          <w:rFonts w:ascii="Arial" w:hAnsi="Arial" w:cs="Arial"/>
          <w:b/>
        </w:rPr>
        <w:t>8</w:t>
      </w:r>
    </w:p>
    <w:p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Zrušovací ustanovení</w:t>
      </w:r>
    </w:p>
    <w:p w:rsidR="007F101A" w:rsidRPr="00DA1D68" w:rsidRDefault="007F101A" w:rsidP="007F101A">
      <w:pPr>
        <w:spacing w:after="18" w:line="259" w:lineRule="auto"/>
        <w:ind w:left="142" w:right="118"/>
        <w:jc w:val="both"/>
        <w:rPr>
          <w:rFonts w:ascii="Arial" w:hAnsi="Arial" w:cs="Arial"/>
        </w:rPr>
      </w:pPr>
      <w:r w:rsidRPr="00DA1D68">
        <w:rPr>
          <w:rFonts w:ascii="Arial" w:hAnsi="Arial" w:cs="Arial"/>
        </w:rPr>
        <w:t xml:space="preserve">Dnem nabytí účinnosti tohoto nařízení se  zrušuje Nařízení města Bystřice nad Pernštejnem č. </w:t>
      </w:r>
      <w:r w:rsidR="00F9711E">
        <w:rPr>
          <w:rFonts w:ascii="Arial" w:hAnsi="Arial" w:cs="Arial"/>
        </w:rPr>
        <w:t>1</w:t>
      </w:r>
      <w:r w:rsidRPr="00DA1D68">
        <w:rPr>
          <w:rFonts w:ascii="Arial" w:hAnsi="Arial" w:cs="Arial"/>
        </w:rPr>
        <w:t xml:space="preserve">/2016 ze dne </w:t>
      </w:r>
      <w:proofErr w:type="gramStart"/>
      <w:r w:rsidRPr="00DA1D68">
        <w:rPr>
          <w:rFonts w:ascii="Arial" w:hAnsi="Arial" w:cs="Arial"/>
        </w:rPr>
        <w:t>12.01.2016</w:t>
      </w:r>
      <w:proofErr w:type="gramEnd"/>
      <w:r w:rsidRPr="00DA1D68">
        <w:rPr>
          <w:rFonts w:ascii="Arial" w:hAnsi="Arial" w:cs="Arial"/>
        </w:rPr>
        <w:t>, kterým se vydává Tržní řád.</w:t>
      </w:r>
      <w:r w:rsidRPr="00DA1D68">
        <w:rPr>
          <w:rFonts w:ascii="Arial" w:hAnsi="Arial" w:cs="Arial"/>
          <w:i/>
        </w:rPr>
        <w:t xml:space="preserve">  </w:t>
      </w:r>
    </w:p>
    <w:p w:rsidR="007F101A" w:rsidRPr="00BA6D32" w:rsidRDefault="007F101A" w:rsidP="007F101A">
      <w:pPr>
        <w:spacing w:line="259" w:lineRule="auto"/>
        <w:ind w:left="142" w:right="118"/>
        <w:jc w:val="both"/>
        <w:rPr>
          <w:rFonts w:ascii="Arial" w:hAnsi="Arial" w:cs="Arial"/>
        </w:rPr>
      </w:pPr>
      <w:r w:rsidRPr="00DA1D68">
        <w:rPr>
          <w:rFonts w:ascii="Arial" w:hAnsi="Arial" w:cs="Arial"/>
          <w:b/>
        </w:rPr>
        <w:t xml:space="preserve"> </w:t>
      </w:r>
    </w:p>
    <w:p w:rsidR="007F101A" w:rsidRPr="00DA1D68" w:rsidRDefault="007F101A" w:rsidP="007F101A">
      <w:pPr>
        <w:spacing w:line="259" w:lineRule="auto"/>
        <w:ind w:left="142"/>
        <w:jc w:val="center"/>
        <w:rPr>
          <w:rFonts w:ascii="Arial" w:hAnsi="Arial" w:cs="Arial"/>
          <w:b/>
        </w:rPr>
      </w:pPr>
    </w:p>
    <w:p w:rsidR="007F101A" w:rsidRPr="00DA1D68" w:rsidRDefault="007F101A" w:rsidP="007F101A">
      <w:pPr>
        <w:spacing w:line="259" w:lineRule="auto"/>
        <w:ind w:left="142"/>
        <w:jc w:val="center"/>
        <w:rPr>
          <w:rFonts w:ascii="Arial" w:hAnsi="Arial" w:cs="Arial"/>
          <w:b/>
        </w:rPr>
      </w:pPr>
      <w:r w:rsidRPr="00DA1D68">
        <w:rPr>
          <w:rFonts w:ascii="Arial" w:hAnsi="Arial" w:cs="Arial"/>
          <w:b/>
        </w:rPr>
        <w:t xml:space="preserve">Článek </w:t>
      </w:r>
      <w:r>
        <w:rPr>
          <w:rFonts w:ascii="Arial" w:hAnsi="Arial" w:cs="Arial"/>
          <w:b/>
        </w:rPr>
        <w:t>9</w:t>
      </w:r>
    </w:p>
    <w:p w:rsidR="007F101A" w:rsidRPr="00FA16E0" w:rsidRDefault="007F101A" w:rsidP="007F101A">
      <w:pPr>
        <w:spacing w:line="259" w:lineRule="auto"/>
        <w:ind w:left="142"/>
        <w:jc w:val="center"/>
        <w:rPr>
          <w:rFonts w:ascii="Arial" w:hAnsi="Arial" w:cs="Arial"/>
          <w:b/>
        </w:rPr>
      </w:pPr>
      <w:r w:rsidRPr="00DA1D68">
        <w:rPr>
          <w:rFonts w:ascii="Arial" w:hAnsi="Arial" w:cs="Arial"/>
          <w:b/>
        </w:rPr>
        <w:t>Účinnost</w:t>
      </w:r>
    </w:p>
    <w:p w:rsidR="007F101A" w:rsidRPr="00DA1D68" w:rsidRDefault="007F101A" w:rsidP="007F101A">
      <w:pPr>
        <w:tabs>
          <w:tab w:val="center" w:pos="3031"/>
        </w:tabs>
        <w:rPr>
          <w:rFonts w:ascii="Arial" w:hAnsi="Arial" w:cs="Arial"/>
        </w:rPr>
      </w:pPr>
      <w:r>
        <w:rPr>
          <w:rFonts w:ascii="Arial" w:eastAsia="Calibri" w:hAnsi="Arial" w:cs="Arial"/>
        </w:rPr>
        <w:t xml:space="preserve">  </w:t>
      </w:r>
      <w:r w:rsidRPr="00DA1D68">
        <w:rPr>
          <w:rFonts w:ascii="Arial" w:hAnsi="Arial" w:cs="Arial"/>
        </w:rPr>
        <w:t>Toto nařízení města nabývá účinnosti dnem</w:t>
      </w:r>
      <w:r>
        <w:rPr>
          <w:rFonts w:ascii="Arial" w:hAnsi="Arial" w:cs="Arial"/>
        </w:rPr>
        <w:t xml:space="preserve"> </w:t>
      </w:r>
      <w:proofErr w:type="gramStart"/>
      <w:r>
        <w:rPr>
          <w:rFonts w:ascii="Arial" w:hAnsi="Arial" w:cs="Arial"/>
        </w:rPr>
        <w:t>16.03.2021</w:t>
      </w:r>
      <w:proofErr w:type="gramEnd"/>
      <w:r>
        <w:rPr>
          <w:rFonts w:ascii="Arial" w:hAnsi="Arial" w:cs="Arial"/>
        </w:rPr>
        <w:t>.</w:t>
      </w:r>
      <w:r w:rsidRPr="00DA1D68">
        <w:rPr>
          <w:rFonts w:ascii="Arial" w:hAnsi="Arial" w:cs="Arial"/>
        </w:rPr>
        <w:t xml:space="preserve">   </w:t>
      </w:r>
    </w:p>
    <w:p w:rsidR="007F101A" w:rsidRPr="00DA1D68" w:rsidRDefault="007F101A" w:rsidP="007F101A">
      <w:pPr>
        <w:tabs>
          <w:tab w:val="center" w:pos="142"/>
          <w:tab w:val="center" w:pos="3031"/>
        </w:tabs>
        <w:rPr>
          <w:rFonts w:ascii="Arial" w:hAnsi="Arial" w:cs="Arial"/>
        </w:rPr>
      </w:pPr>
    </w:p>
    <w:p w:rsidR="007F101A" w:rsidRPr="00DA1D68" w:rsidRDefault="007F101A" w:rsidP="007F101A">
      <w:pPr>
        <w:tabs>
          <w:tab w:val="center" w:pos="142"/>
        </w:tabs>
        <w:rPr>
          <w:rFonts w:ascii="Arial" w:hAnsi="Arial" w:cs="Arial"/>
        </w:rPr>
      </w:pPr>
    </w:p>
    <w:p w:rsidR="007F101A" w:rsidRPr="00DA1D68" w:rsidRDefault="007F101A" w:rsidP="007F101A">
      <w:pPr>
        <w:tabs>
          <w:tab w:val="center" w:pos="142"/>
          <w:tab w:val="center" w:pos="3031"/>
        </w:tabs>
        <w:rPr>
          <w:rFonts w:ascii="Arial" w:hAnsi="Arial" w:cs="Arial"/>
        </w:rPr>
      </w:pPr>
    </w:p>
    <w:p w:rsidR="007F101A" w:rsidRPr="00DA1D68" w:rsidRDefault="007F101A" w:rsidP="007F101A">
      <w:pPr>
        <w:tabs>
          <w:tab w:val="center" w:pos="142"/>
          <w:tab w:val="center" w:pos="3031"/>
        </w:tabs>
        <w:rPr>
          <w:rFonts w:ascii="Arial" w:hAnsi="Arial" w:cs="Arial"/>
        </w:rPr>
      </w:pPr>
    </w:p>
    <w:p w:rsidR="007F101A" w:rsidRPr="00DA1D68" w:rsidRDefault="007F101A" w:rsidP="007F101A">
      <w:pPr>
        <w:tabs>
          <w:tab w:val="center" w:pos="142"/>
          <w:tab w:val="center" w:pos="3031"/>
        </w:tabs>
        <w:rPr>
          <w:rFonts w:ascii="Arial" w:hAnsi="Arial" w:cs="Arial"/>
        </w:rPr>
      </w:pPr>
    </w:p>
    <w:p w:rsidR="007F101A" w:rsidRPr="00DA1D68" w:rsidRDefault="007F101A" w:rsidP="007F101A">
      <w:pPr>
        <w:tabs>
          <w:tab w:val="center" w:pos="1701"/>
          <w:tab w:val="center" w:pos="7938"/>
        </w:tabs>
        <w:rPr>
          <w:rFonts w:ascii="Arial" w:hAnsi="Arial" w:cs="Arial"/>
        </w:rPr>
      </w:pPr>
      <w:r w:rsidRPr="00DA1D68">
        <w:rPr>
          <w:rFonts w:ascii="Arial" w:hAnsi="Arial" w:cs="Arial"/>
        </w:rPr>
        <w:tab/>
        <w:t>…………………………………</w:t>
      </w:r>
      <w:r w:rsidRPr="00DA1D68">
        <w:rPr>
          <w:rFonts w:ascii="Arial" w:hAnsi="Arial" w:cs="Arial"/>
        </w:rPr>
        <w:tab/>
        <w:t>…………………………………..</w:t>
      </w:r>
    </w:p>
    <w:p w:rsidR="007F101A" w:rsidRPr="00DA1D68" w:rsidRDefault="007F101A" w:rsidP="007F101A">
      <w:pPr>
        <w:tabs>
          <w:tab w:val="center" w:pos="1701"/>
          <w:tab w:val="center" w:pos="7938"/>
        </w:tabs>
        <w:rPr>
          <w:rFonts w:ascii="Arial" w:hAnsi="Arial" w:cs="Arial"/>
          <w:b/>
        </w:rPr>
      </w:pPr>
      <w:r w:rsidRPr="00DA1D68">
        <w:rPr>
          <w:rFonts w:ascii="Arial" w:hAnsi="Arial" w:cs="Arial"/>
        </w:rPr>
        <w:tab/>
      </w:r>
      <w:r w:rsidRPr="00DA1D68">
        <w:rPr>
          <w:rFonts w:ascii="Arial" w:hAnsi="Arial" w:cs="Arial"/>
          <w:b/>
        </w:rPr>
        <w:t>Ing. Karel Pačiska</w:t>
      </w:r>
      <w:r w:rsidRPr="00DA1D68">
        <w:rPr>
          <w:rFonts w:ascii="Arial" w:hAnsi="Arial" w:cs="Arial"/>
          <w:b/>
        </w:rPr>
        <w:tab/>
        <w:t>Mgr. Martin Horák</w:t>
      </w:r>
    </w:p>
    <w:p w:rsidR="007F101A" w:rsidRPr="00DA1D68" w:rsidRDefault="007F101A" w:rsidP="007F101A">
      <w:pPr>
        <w:tabs>
          <w:tab w:val="center" w:pos="1701"/>
          <w:tab w:val="center" w:pos="7938"/>
        </w:tabs>
        <w:rPr>
          <w:rFonts w:ascii="Arial" w:hAnsi="Arial" w:cs="Arial"/>
        </w:rPr>
      </w:pPr>
      <w:r w:rsidRPr="00DA1D68">
        <w:rPr>
          <w:rFonts w:ascii="Arial" w:hAnsi="Arial" w:cs="Arial"/>
        </w:rPr>
        <w:tab/>
        <w:t>starosta města</w:t>
      </w:r>
      <w:r w:rsidRPr="00DA1D68">
        <w:rPr>
          <w:rFonts w:ascii="Arial" w:hAnsi="Arial" w:cs="Arial"/>
        </w:rPr>
        <w:tab/>
        <w:t>místostarosta města</w:t>
      </w:r>
    </w:p>
    <w:p w:rsidR="007F101A" w:rsidRPr="00DA1D68" w:rsidRDefault="007F101A" w:rsidP="007F101A">
      <w:pPr>
        <w:tabs>
          <w:tab w:val="center" w:pos="1701"/>
          <w:tab w:val="center" w:pos="7938"/>
        </w:tabs>
        <w:rPr>
          <w:rFonts w:ascii="Arial" w:hAnsi="Arial" w:cs="Arial"/>
        </w:rPr>
      </w:pPr>
    </w:p>
    <w:p w:rsidR="007F101A" w:rsidRPr="00DA1D68" w:rsidRDefault="007F101A" w:rsidP="007F101A">
      <w:pPr>
        <w:spacing w:line="216" w:lineRule="auto"/>
        <w:ind w:left="142" w:right="9588"/>
        <w:rPr>
          <w:rFonts w:ascii="Arial" w:hAnsi="Arial" w:cs="Arial"/>
        </w:rPr>
      </w:pPr>
      <w:r>
        <w:rPr>
          <w:rFonts w:ascii="Arial" w:hAnsi="Arial" w:cs="Arial"/>
        </w:rPr>
        <w:t xml:space="preserve">  </w:t>
      </w:r>
      <w:r w:rsidRPr="00DA1D68">
        <w:rPr>
          <w:rFonts w:ascii="Arial" w:hAnsi="Arial" w:cs="Arial"/>
        </w:rPr>
        <w:t xml:space="preserve"> </w:t>
      </w:r>
    </w:p>
    <w:p w:rsidR="007F101A" w:rsidRPr="00DA1D68" w:rsidRDefault="007F101A" w:rsidP="007F101A">
      <w:pPr>
        <w:spacing w:line="216" w:lineRule="auto"/>
        <w:ind w:left="142" w:right="9588"/>
        <w:rPr>
          <w:rFonts w:ascii="Arial" w:hAnsi="Arial" w:cs="Arial"/>
        </w:rPr>
      </w:pPr>
      <w:r w:rsidRPr="00DA1D68">
        <w:rPr>
          <w:rFonts w:ascii="Arial" w:hAnsi="Arial" w:cs="Arial"/>
        </w:rPr>
        <w:t xml:space="preserve">  </w:t>
      </w:r>
    </w:p>
    <w:p w:rsidR="007F101A" w:rsidRPr="00DA1D68" w:rsidRDefault="007F101A" w:rsidP="007F101A">
      <w:pPr>
        <w:spacing w:line="216" w:lineRule="auto"/>
        <w:ind w:left="142" w:right="9588"/>
        <w:rPr>
          <w:rFonts w:ascii="Arial" w:hAnsi="Arial" w:cs="Arial"/>
        </w:rPr>
      </w:pPr>
      <w:r w:rsidRPr="00DA1D68">
        <w:rPr>
          <w:rFonts w:ascii="Arial" w:hAnsi="Arial" w:cs="Arial"/>
        </w:rPr>
        <w:t xml:space="preserve">  </w:t>
      </w:r>
    </w:p>
    <w:p w:rsidR="007F101A" w:rsidRPr="00DA1D68" w:rsidRDefault="007F101A" w:rsidP="007F101A">
      <w:pPr>
        <w:spacing w:line="216" w:lineRule="auto"/>
        <w:ind w:right="9588"/>
        <w:rPr>
          <w:rFonts w:ascii="Arial" w:hAnsi="Arial" w:cs="Arial"/>
        </w:rPr>
      </w:pPr>
      <w:r w:rsidRPr="00DA1D68">
        <w:rPr>
          <w:rFonts w:ascii="Arial" w:hAnsi="Arial" w:cs="Arial"/>
        </w:rPr>
        <w:t xml:space="preserve">  </w:t>
      </w:r>
    </w:p>
    <w:p w:rsidR="007F101A" w:rsidRPr="00DA1D68" w:rsidRDefault="007F101A" w:rsidP="007F101A">
      <w:pPr>
        <w:spacing w:after="29" w:line="216" w:lineRule="auto"/>
        <w:ind w:left="142" w:right="9588"/>
        <w:rPr>
          <w:rFonts w:ascii="Arial" w:hAnsi="Arial" w:cs="Arial"/>
        </w:rPr>
      </w:pPr>
      <w:r w:rsidRPr="00DA1D68">
        <w:rPr>
          <w:rFonts w:ascii="Arial" w:hAnsi="Arial" w:cs="Arial"/>
        </w:rPr>
        <w:t xml:space="preserve">  </w:t>
      </w:r>
    </w:p>
    <w:p w:rsidR="007F101A" w:rsidRPr="00DA1D68" w:rsidRDefault="007F101A" w:rsidP="007F101A">
      <w:pPr>
        <w:spacing w:line="259" w:lineRule="auto"/>
        <w:ind w:left="142"/>
        <w:rPr>
          <w:rFonts w:ascii="Arial" w:hAnsi="Arial" w:cs="Arial"/>
        </w:rPr>
      </w:pPr>
      <w:r w:rsidRPr="00DA1D68">
        <w:rPr>
          <w:rFonts w:ascii="Arial" w:hAnsi="Arial" w:cs="Arial"/>
        </w:rPr>
        <w:t xml:space="preserve"> </w:t>
      </w:r>
    </w:p>
    <w:p w:rsidR="007F101A" w:rsidRPr="00DA1D68" w:rsidRDefault="007F101A" w:rsidP="007F101A">
      <w:pPr>
        <w:spacing w:after="8" w:line="259" w:lineRule="auto"/>
        <w:rPr>
          <w:rFonts w:ascii="Arial" w:hAnsi="Arial" w:cs="Arial"/>
        </w:rPr>
      </w:pPr>
      <w:r w:rsidRPr="00DA1D68">
        <w:rPr>
          <w:rFonts w:ascii="Arial" w:hAnsi="Arial" w:cs="Arial"/>
        </w:rPr>
        <w:t>Datum vyhlášení (vyvěšení):</w:t>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t xml:space="preserve">Datum sejmutí: </w:t>
      </w:r>
    </w:p>
    <w:p w:rsidR="007F101A" w:rsidRPr="00DA1D68" w:rsidRDefault="007F101A" w:rsidP="007F101A">
      <w:pPr>
        <w:tabs>
          <w:tab w:val="center" w:pos="765"/>
          <w:tab w:val="center" w:pos="2302"/>
          <w:tab w:val="center" w:pos="3022"/>
          <w:tab w:val="center" w:pos="3742"/>
          <w:tab w:val="center" w:pos="6334"/>
        </w:tabs>
        <w:spacing w:after="8" w:line="259" w:lineRule="auto"/>
        <w:rPr>
          <w:rFonts w:ascii="Arial" w:hAnsi="Arial" w:cs="Arial"/>
        </w:rPr>
      </w:pPr>
      <w:r w:rsidRPr="00DA1D68">
        <w:rPr>
          <w:rFonts w:ascii="Arial" w:hAnsi="Arial" w:cs="Arial"/>
        </w:rPr>
        <w:t>dne:</w:t>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t xml:space="preserve">dne: </w:t>
      </w:r>
      <w:r w:rsidRPr="00DA1D68">
        <w:rPr>
          <w:rFonts w:ascii="Arial" w:hAnsi="Arial" w:cs="Arial"/>
          <w:b/>
        </w:rPr>
        <w:t xml:space="preserve"> </w:t>
      </w: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7F101A" w:rsidRDefault="007F101A" w:rsidP="007F101A">
      <w:pPr>
        <w:spacing w:line="259" w:lineRule="auto"/>
        <w:ind w:left="197"/>
        <w:jc w:val="center"/>
        <w:rPr>
          <w:rFonts w:ascii="Arial" w:hAnsi="Arial" w:cs="Arial"/>
          <w:b/>
        </w:rPr>
      </w:pPr>
    </w:p>
    <w:p w:rsidR="00E60A1D" w:rsidRDefault="00E60A1D"/>
    <w:sectPr w:rsidR="00E60A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67" w:rsidRDefault="002B2F67" w:rsidP="007F101A">
      <w:r>
        <w:separator/>
      </w:r>
    </w:p>
  </w:endnote>
  <w:endnote w:type="continuationSeparator" w:id="0">
    <w:p w:rsidR="002B2F67" w:rsidRDefault="002B2F67" w:rsidP="007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67" w:rsidRDefault="002B2F67" w:rsidP="007F101A">
      <w:r>
        <w:separator/>
      </w:r>
    </w:p>
  </w:footnote>
  <w:footnote w:type="continuationSeparator" w:id="0">
    <w:p w:rsidR="002B2F67" w:rsidRDefault="002B2F67" w:rsidP="007F101A">
      <w:r>
        <w:continuationSeparator/>
      </w:r>
    </w:p>
  </w:footnote>
  <w:footnote w:id="1">
    <w:p w:rsidR="007F101A" w:rsidRDefault="007F101A" w:rsidP="007F101A">
      <w:pPr>
        <w:pStyle w:val="footnotedescription"/>
      </w:pPr>
      <w:r>
        <w:rPr>
          <w:rStyle w:val="footnotemark"/>
        </w:rPr>
        <w:footnoteRef/>
      </w:r>
      <w:r>
        <w:t xml:space="preserve"> zákon č. 183/2006 Sb., o územním plánování a stavebním řádu (stavební zákon), ve znění pozdějších předpisů </w:t>
      </w:r>
    </w:p>
    <w:p w:rsidR="007F101A" w:rsidRDefault="007F101A" w:rsidP="007F101A">
      <w:pPr>
        <w:pStyle w:val="footnotedescription"/>
      </w:pPr>
      <w:r>
        <w:t xml:space="preserve"> </w:t>
      </w:r>
    </w:p>
    <w:p w:rsidR="007F101A" w:rsidRDefault="007F101A" w:rsidP="007F101A">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4881"/>
    <w:multiLevelType w:val="hybridMultilevel"/>
    <w:tmpl w:val="8376E5C0"/>
    <w:lvl w:ilvl="0" w:tplc="29A61F4C">
      <w:start w:val="6"/>
      <w:numFmt w:val="decimal"/>
      <w:lvlText w:val="%1)"/>
      <w:lvlJc w:val="left"/>
      <w:pPr>
        <w:ind w:left="506"/>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1" w:tplc="756C4684">
      <w:start w:val="1"/>
      <w:numFmt w:val="lowerLetter"/>
      <w:lvlText w:val="%2)"/>
      <w:lvlJc w:val="left"/>
      <w:pPr>
        <w:ind w:left="770"/>
      </w:pPr>
      <w:rPr>
        <w:rFonts w:ascii="Arial" w:eastAsia="Times New Roman" w:hAnsi="Arial" w:cs="Arial" w:hint="default"/>
        <w:b w:val="0"/>
        <w:i/>
        <w:iCs/>
        <w:strike w:val="0"/>
        <w:dstrike w:val="0"/>
        <w:color w:val="000000"/>
        <w:sz w:val="20"/>
        <w:szCs w:val="20"/>
        <w:u w:val="none" w:color="000000"/>
        <w:bdr w:val="none" w:sz="0" w:space="0" w:color="auto"/>
        <w:shd w:val="clear" w:color="auto" w:fill="auto"/>
        <w:vertAlign w:val="baseline"/>
      </w:rPr>
    </w:lvl>
    <w:lvl w:ilvl="2" w:tplc="CFD01070">
      <w:start w:val="1"/>
      <w:numFmt w:val="lowerRoman"/>
      <w:lvlText w:val="%3"/>
      <w:lvlJc w:val="left"/>
      <w:pPr>
        <w:ind w:left="15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F82B00">
      <w:start w:val="1"/>
      <w:numFmt w:val="decimal"/>
      <w:lvlText w:val="%4"/>
      <w:lvlJc w:val="left"/>
      <w:pPr>
        <w:ind w:left="22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3E6F256">
      <w:start w:val="1"/>
      <w:numFmt w:val="lowerLetter"/>
      <w:lvlText w:val="%5"/>
      <w:lvlJc w:val="left"/>
      <w:pPr>
        <w:ind w:left="29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CB24312">
      <w:start w:val="1"/>
      <w:numFmt w:val="lowerRoman"/>
      <w:lvlText w:val="%6"/>
      <w:lvlJc w:val="left"/>
      <w:pPr>
        <w:ind w:left="36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304428">
      <w:start w:val="1"/>
      <w:numFmt w:val="decimal"/>
      <w:lvlText w:val="%7"/>
      <w:lvlJc w:val="left"/>
      <w:pPr>
        <w:ind w:left="43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F7E2D1C">
      <w:start w:val="1"/>
      <w:numFmt w:val="lowerLetter"/>
      <w:lvlText w:val="%8"/>
      <w:lvlJc w:val="left"/>
      <w:pPr>
        <w:ind w:left="51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394F5E2">
      <w:start w:val="1"/>
      <w:numFmt w:val="lowerRoman"/>
      <w:lvlText w:val="%9"/>
      <w:lvlJc w:val="left"/>
      <w:pPr>
        <w:ind w:left="5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15B8A"/>
    <w:multiLevelType w:val="hybridMultilevel"/>
    <w:tmpl w:val="1302984C"/>
    <w:lvl w:ilvl="0" w:tplc="3A0ADE6C">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8A429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E9F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AC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6F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AA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40B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60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8A4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3810BE"/>
    <w:multiLevelType w:val="hybridMultilevel"/>
    <w:tmpl w:val="CE7622AE"/>
    <w:lvl w:ilvl="0" w:tplc="B9E04A88">
      <w:start w:val="1"/>
      <w:numFmt w:val="decimal"/>
      <w:lvlText w:val="%1)"/>
      <w:lvlJc w:val="left"/>
      <w:pPr>
        <w:ind w:left="3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E989A72">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A218C">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29D7A">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692AA">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C5EC0">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A348A">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F98A">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6C7C2">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F3390"/>
    <w:multiLevelType w:val="hybridMultilevel"/>
    <w:tmpl w:val="14F667CE"/>
    <w:lvl w:ilvl="0" w:tplc="9C68ADC4">
      <w:start w:val="1"/>
      <w:numFmt w:val="decimal"/>
      <w:lvlText w:val="%1)"/>
      <w:lvlJc w:val="left"/>
      <w:pPr>
        <w:ind w:left="6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5DEB4E2">
      <w:start w:val="1"/>
      <w:numFmt w:val="lowerLetter"/>
      <w:lvlText w:val="%2)"/>
      <w:lvlJc w:val="left"/>
      <w:pPr>
        <w:ind w:left="559"/>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CE2E4DA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22EB8">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2359A">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271A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8163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EE64A">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E8A9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66049A"/>
    <w:multiLevelType w:val="hybridMultilevel"/>
    <w:tmpl w:val="7BA274FE"/>
    <w:lvl w:ilvl="0" w:tplc="A6AA4E84">
      <w:start w:val="1"/>
      <w:numFmt w:val="bullet"/>
      <w:lvlText w:val="-"/>
      <w:lvlJc w:val="left"/>
      <w:pPr>
        <w:ind w:left="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DACCF24">
      <w:start w:val="1"/>
      <w:numFmt w:val="bullet"/>
      <w:lvlText w:val="o"/>
      <w:lvlJc w:val="left"/>
      <w:pPr>
        <w:ind w:left="1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40DCEE">
      <w:start w:val="1"/>
      <w:numFmt w:val="bullet"/>
      <w:lvlText w:val="▪"/>
      <w:lvlJc w:val="left"/>
      <w:pPr>
        <w:ind w:left="2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7DEE1E4">
      <w:start w:val="1"/>
      <w:numFmt w:val="bullet"/>
      <w:lvlText w:val="•"/>
      <w:lvlJc w:val="left"/>
      <w:pPr>
        <w:ind w:left="29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EB478A2">
      <w:start w:val="1"/>
      <w:numFmt w:val="bullet"/>
      <w:lvlText w:val="o"/>
      <w:lvlJc w:val="left"/>
      <w:pPr>
        <w:ind w:left="36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8E09E9A">
      <w:start w:val="1"/>
      <w:numFmt w:val="bullet"/>
      <w:lvlText w:val="▪"/>
      <w:lvlJc w:val="left"/>
      <w:pPr>
        <w:ind w:left="43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04E7FEE">
      <w:start w:val="1"/>
      <w:numFmt w:val="bullet"/>
      <w:lvlText w:val="•"/>
      <w:lvlJc w:val="left"/>
      <w:pPr>
        <w:ind w:left="51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2E0D24">
      <w:start w:val="1"/>
      <w:numFmt w:val="bullet"/>
      <w:lvlText w:val="o"/>
      <w:lvlJc w:val="left"/>
      <w:pPr>
        <w:ind w:left="58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C259C4">
      <w:start w:val="1"/>
      <w:numFmt w:val="bullet"/>
      <w:lvlText w:val="▪"/>
      <w:lvlJc w:val="left"/>
      <w:pPr>
        <w:ind w:left="6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6678F4"/>
    <w:multiLevelType w:val="hybridMultilevel"/>
    <w:tmpl w:val="39BAE766"/>
    <w:lvl w:ilvl="0" w:tplc="AF90D598">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39636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A77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CB3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6D3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62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4F4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04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47B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534733"/>
    <w:multiLevelType w:val="hybridMultilevel"/>
    <w:tmpl w:val="81DC5F98"/>
    <w:lvl w:ilvl="0" w:tplc="E0C8052C">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9526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EF9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E64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EA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24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03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C4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61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BC7824"/>
    <w:multiLevelType w:val="hybridMultilevel"/>
    <w:tmpl w:val="75CEBDDC"/>
    <w:lvl w:ilvl="0" w:tplc="27A8D7FE">
      <w:start w:val="1"/>
      <w:numFmt w:val="lowerLetter"/>
      <w:lvlText w:val="%1)"/>
      <w:lvlJc w:val="left"/>
      <w:pPr>
        <w:ind w:left="79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D1A94E8">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6F5E">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81C04">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44004">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8602C">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BA5A">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050F2">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098A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4"/>
  </w:num>
  <w:num w:numId="4">
    <w:abstractNumId w:val="0"/>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1A"/>
    <w:rsid w:val="002225F4"/>
    <w:rsid w:val="00287E6F"/>
    <w:rsid w:val="002B2F67"/>
    <w:rsid w:val="003E74A1"/>
    <w:rsid w:val="0072001B"/>
    <w:rsid w:val="007F101A"/>
    <w:rsid w:val="00805FE3"/>
    <w:rsid w:val="00E60A1D"/>
    <w:rsid w:val="00F97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C4E19-9058-4745-92E9-65906A18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101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7F101A"/>
    <w:pPr>
      <w:keepNext/>
      <w:jc w:val="center"/>
      <w:outlineLvl w:val="0"/>
    </w:pPr>
    <w:rPr>
      <w:b/>
      <w:bCs/>
      <w:sz w:val="24"/>
      <w:szCs w:val="24"/>
    </w:rPr>
  </w:style>
  <w:style w:type="paragraph" w:styleId="Nadpis2">
    <w:name w:val="heading 2"/>
    <w:basedOn w:val="Normln"/>
    <w:next w:val="Normln"/>
    <w:link w:val="Nadpis2Char"/>
    <w:uiPriority w:val="99"/>
    <w:qFormat/>
    <w:rsid w:val="007F101A"/>
    <w:pPr>
      <w:keepNext/>
      <w:jc w:val="center"/>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F101A"/>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9"/>
    <w:rsid w:val="007F101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F101A"/>
    <w:pPr>
      <w:ind w:left="708"/>
    </w:pPr>
  </w:style>
  <w:style w:type="paragraph" w:customStyle="1" w:styleId="footnotedescription">
    <w:name w:val="footnote description"/>
    <w:next w:val="Normln"/>
    <w:link w:val="footnotedescriptionChar"/>
    <w:hidden/>
    <w:rsid w:val="007F101A"/>
    <w:pPr>
      <w:spacing w:after="0"/>
      <w:ind w:left="142"/>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7F101A"/>
    <w:rPr>
      <w:rFonts w:ascii="Times New Roman" w:eastAsia="Times New Roman" w:hAnsi="Times New Roman" w:cs="Times New Roman"/>
      <w:color w:val="000000"/>
      <w:sz w:val="20"/>
      <w:lang w:eastAsia="cs-CZ"/>
    </w:rPr>
  </w:style>
  <w:style w:type="character" w:customStyle="1" w:styleId="footnotemark">
    <w:name w:val="footnote mark"/>
    <w:hidden/>
    <w:rsid w:val="007F101A"/>
    <w:rPr>
      <w:rFonts w:ascii="Times New Roman" w:eastAsia="Times New Roman" w:hAnsi="Times New Roman" w:cs="Times New Roman"/>
      <w:color w:val="000000"/>
      <w:sz w:val="20"/>
      <w:vertAlign w:val="superscript"/>
    </w:rPr>
  </w:style>
  <w:style w:type="paragraph" w:styleId="Textbubliny">
    <w:name w:val="Balloon Text"/>
    <w:basedOn w:val="Normln"/>
    <w:link w:val="TextbublinyChar"/>
    <w:uiPriority w:val="99"/>
    <w:semiHidden/>
    <w:unhideWhenUsed/>
    <w:rsid w:val="00F971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11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1048</Words>
  <Characters>6187</Characters>
  <Application>Microsoft Office Word</Application>
  <DocSecurity>4</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Rod</dc:creator>
  <cp:keywords/>
  <dc:description/>
  <cp:lastModifiedBy>Josef Vojta</cp:lastModifiedBy>
  <cp:revision>2</cp:revision>
  <cp:lastPrinted>2021-03-15T07:15:00Z</cp:lastPrinted>
  <dcterms:created xsi:type="dcterms:W3CDTF">2021-04-07T07:31:00Z</dcterms:created>
  <dcterms:modified xsi:type="dcterms:W3CDTF">2021-04-07T07:31:00Z</dcterms:modified>
</cp:coreProperties>
</file>