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4538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32"/>
          <w:szCs w:val="28"/>
        </w:rPr>
      </w:pPr>
      <w:r w:rsidRPr="005505CC">
        <w:rPr>
          <w:rFonts w:ascii="Georgia" w:hAnsi="Georgia"/>
          <w:b/>
          <w:color w:val="000000"/>
          <w:sz w:val="32"/>
          <w:szCs w:val="28"/>
        </w:rPr>
        <w:t>Obec Kamenný Újezd</w:t>
      </w:r>
    </w:p>
    <w:p w14:paraId="79655938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32"/>
          <w:szCs w:val="28"/>
        </w:rPr>
      </w:pPr>
      <w:r w:rsidRPr="005505CC">
        <w:rPr>
          <w:rFonts w:ascii="Georgia" w:hAnsi="Georgia"/>
          <w:b/>
          <w:color w:val="000000"/>
          <w:sz w:val="32"/>
          <w:szCs w:val="28"/>
        </w:rPr>
        <w:t>Zastupitelstvo obce Kamenný Újezd</w:t>
      </w:r>
    </w:p>
    <w:p w14:paraId="401CBE6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Cs w:val="22"/>
        </w:rPr>
      </w:pPr>
      <w:r w:rsidRPr="005505CC">
        <w:rPr>
          <w:rFonts w:ascii="Georgia" w:eastAsia="Arial" w:hAnsi="Georgia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63B0F4" wp14:editId="7AAD93BE">
            <wp:simplePos x="0" y="0"/>
            <wp:positionH relativeFrom="margin">
              <wp:posOffset>2559685</wp:posOffset>
            </wp:positionH>
            <wp:positionV relativeFrom="paragraph">
              <wp:posOffset>96520</wp:posOffset>
            </wp:positionV>
            <wp:extent cx="739140" cy="746760"/>
            <wp:effectExtent l="0" t="0" r="3810" b="0"/>
            <wp:wrapSquare wrapText="bothSides"/>
            <wp:docPr id="6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1D920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</w:rPr>
      </w:pPr>
    </w:p>
    <w:p w14:paraId="0CB37AB1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5C769883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4CC5CCF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Georgia" w:hAnsi="Georgia"/>
          <w:b/>
          <w:color w:val="000000"/>
          <w:sz w:val="14"/>
          <w:szCs w:val="12"/>
        </w:rPr>
      </w:pPr>
    </w:p>
    <w:p w14:paraId="5B558888" w14:textId="6FFAA5F9" w:rsidR="005505CC" w:rsidRPr="005505CC" w:rsidRDefault="005505CC" w:rsidP="005505CC">
      <w:pPr>
        <w:keepNext/>
        <w:spacing w:before="240" w:after="60"/>
        <w:jc w:val="center"/>
        <w:outlineLvl w:val="2"/>
        <w:rPr>
          <w:rFonts w:ascii="Georgia" w:hAnsi="Georgia"/>
          <w:b/>
          <w:color w:val="000000"/>
          <w:sz w:val="36"/>
          <w:szCs w:val="16"/>
        </w:rPr>
      </w:pPr>
      <w:r w:rsidRPr="005505CC">
        <w:rPr>
          <w:rFonts w:ascii="Georgia" w:hAnsi="Georgia"/>
          <w:b/>
          <w:color w:val="000000"/>
          <w:sz w:val="36"/>
          <w:szCs w:val="16"/>
        </w:rPr>
        <w:t xml:space="preserve">Obecně závazná </w:t>
      </w:r>
      <w:r w:rsidR="004C7F6D">
        <w:rPr>
          <w:rFonts w:ascii="Georgia" w:hAnsi="Georgia"/>
          <w:b/>
          <w:color w:val="000000"/>
          <w:sz w:val="36"/>
          <w:szCs w:val="16"/>
        </w:rPr>
        <w:t>vy</w:t>
      </w:r>
      <w:r w:rsidRPr="005505CC">
        <w:rPr>
          <w:rFonts w:ascii="Georgia" w:hAnsi="Georgia"/>
          <w:b/>
          <w:color w:val="000000"/>
          <w:sz w:val="36"/>
          <w:szCs w:val="16"/>
        </w:rPr>
        <w:t xml:space="preserve">hláška obce Kamenný Újezd </w:t>
      </w:r>
    </w:p>
    <w:p w14:paraId="432C4CA3" w14:textId="77777777" w:rsidR="00AB218D" w:rsidRPr="004C7F6D" w:rsidRDefault="00AB218D" w:rsidP="00857298">
      <w:pPr>
        <w:spacing w:line="276" w:lineRule="auto"/>
        <w:jc w:val="center"/>
        <w:rPr>
          <w:rFonts w:ascii="Georgia" w:hAnsi="Georgia"/>
          <w:b/>
        </w:rPr>
      </w:pPr>
      <w:r w:rsidRPr="004C7F6D">
        <w:rPr>
          <w:rFonts w:ascii="Georgia" w:hAnsi="Georgia"/>
          <w:b/>
        </w:rPr>
        <w:t>o místním poplatku za užívání veřejného prostranství</w:t>
      </w:r>
    </w:p>
    <w:p w14:paraId="1584DA11" w14:textId="77777777" w:rsidR="00857298" w:rsidRPr="004C7F6D" w:rsidRDefault="00857298" w:rsidP="00857298">
      <w:pPr>
        <w:spacing w:line="276" w:lineRule="auto"/>
        <w:jc w:val="center"/>
        <w:rPr>
          <w:rFonts w:ascii="Georgia" w:hAnsi="Georgia" w:cs="Arial"/>
          <w:b/>
        </w:rPr>
      </w:pPr>
    </w:p>
    <w:p w14:paraId="382CB2FE" w14:textId="77777777" w:rsidR="00BE164F" w:rsidRPr="00BE164F" w:rsidRDefault="00BE164F" w:rsidP="00BE164F">
      <w:pPr>
        <w:suppressAutoHyphens/>
        <w:autoSpaceDN w:val="0"/>
        <w:spacing w:before="62"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Zastupitelstvo obce Kamenný Újezd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671678" w14:textId="77777777" w:rsidR="001636AB" w:rsidRDefault="001636AB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</w:p>
    <w:p w14:paraId="25DB9204" w14:textId="64FD59B3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1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Úvodní ustanovení</w:t>
      </w:r>
    </w:p>
    <w:p w14:paraId="737D71D3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Obec Kamenný Újezd touto vyhláškou zavádí místní poplatek za užívání veřejného prostranství (dále jen „poplatek“).</w:t>
      </w:r>
    </w:p>
    <w:p w14:paraId="2E84ABB5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Správcem poplatku je obecní úřad</w:t>
      </w:r>
      <w:r w:rsidRPr="00BE164F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32BC0291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2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Předmět poplatku a poplatník</w:t>
      </w:r>
    </w:p>
    <w:p w14:paraId="15087FFE" w14:textId="71CE3358" w:rsidR="00BE164F" w:rsidRPr="00BE164F" w:rsidRDefault="00BE164F" w:rsidP="00786338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za užívání veřejného prostranství se vybírá za zvláštní užívání veřejného prostranství, kterým se rozumí</w:t>
      </w:r>
      <w:r w:rsidRPr="00BE164F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dočasných staveb sloužících pro poskytování služeb,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zařízení sloužících pro poskytování služeb,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dočasných staveb sloužících pro poskytování prodeje,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zařízení sloužících pro poskytování prodeje,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reklamních zařízení,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provádění výkopových prací,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stavebních zařízení,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skládek,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zařízení cirkusů,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umístění zařízení lunaparků a jiných obdobných atrakcí,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vyhrazení trvalého parkovacího místa,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užívání veřejného prostranství pro reklamní akce,</w:t>
      </w:r>
      <w:r w:rsidR="0078633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užívání veřejného prostranství pro potřeby tvorby filmových a televizních děl.</w:t>
      </w:r>
    </w:p>
    <w:p w14:paraId="0222FFC8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BE164F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13BB3A3B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lastRenderedPageBreak/>
        <w:t>Čl. 3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Veřejná prostranství</w:t>
      </w:r>
    </w:p>
    <w:p w14:paraId="10B5A11C" w14:textId="1F6A6B73" w:rsidR="00BE164F" w:rsidRPr="00BE164F" w:rsidRDefault="00BE164F" w:rsidP="00BE164F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se platí za užívání veřejn</w:t>
      </w:r>
      <w:r w:rsidR="00B42C52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ých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prostranství, </w:t>
      </w:r>
      <w:r w:rsidR="008523F0" w:rsidRPr="008523F0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která jsou uvedena jmenovitě v Příloze č. 1, která je nedílnou součástí této vyhlášky.</w:t>
      </w:r>
    </w:p>
    <w:p w14:paraId="22F27814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4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Ohlašovací povinnost</w:t>
      </w:r>
    </w:p>
    <w:p w14:paraId="4AF566FD" w14:textId="54D0B004" w:rsidR="00BE164F" w:rsidRPr="00BE164F" w:rsidRDefault="00BE164F" w:rsidP="00BE164F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Poplatník je povinen podat správci poplatku ohlášení nejpozději 1</w:t>
      </w:r>
      <w:r w:rsidR="001636AB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5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37CDBF1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Údaje uváděné v ohlášení upravuje zákon</w:t>
      </w:r>
      <w:r w:rsidRPr="00BE164F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280E72D6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</w:t>
      </w:r>
      <w:r w:rsidRPr="00BE164F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4D583DC1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5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Sazba poplatku</w:t>
      </w:r>
    </w:p>
    <w:p w14:paraId="4D45EFED" w14:textId="77777777" w:rsidR="00BE164F" w:rsidRPr="00BE164F" w:rsidRDefault="00BE164F" w:rsidP="00BE164F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Sazba poplatku činí za každý i započatý m² a každý i započatý den:</w:t>
      </w:r>
    </w:p>
    <w:p w14:paraId="0F1236A2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dočasných staveb sloužících pro poskytování služeb 5 Kč,</w:t>
      </w:r>
    </w:p>
    <w:p w14:paraId="48C6AF08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zařízení sloužících pro poskytování služeb 5 Kč,</w:t>
      </w:r>
    </w:p>
    <w:p w14:paraId="09359901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dočasných staveb sloužících pro poskytování prodeje 5 Kč,</w:t>
      </w:r>
    </w:p>
    <w:p w14:paraId="683B7FB2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zařízení sloužících pro poskytování prodeje 100 Kč,</w:t>
      </w:r>
    </w:p>
    <w:p w14:paraId="4D9EC2AE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reklamních zařízení 100 Kč,</w:t>
      </w:r>
    </w:p>
    <w:p w14:paraId="5E9F6015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provádění výkopových prací 10 Kč,</w:t>
      </w:r>
    </w:p>
    <w:p w14:paraId="2335DB6D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stavebních zařízení 5 Kč,</w:t>
      </w:r>
    </w:p>
    <w:p w14:paraId="642F973F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skládek 10 Kč,</w:t>
      </w:r>
    </w:p>
    <w:p w14:paraId="10CA4400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zařízení cirkusů 10 Kč,</w:t>
      </w:r>
    </w:p>
    <w:p w14:paraId="3A9F6DFF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umístění zařízení lunaparků a jiných obdobných atrakcí 10 Kč,</w:t>
      </w:r>
    </w:p>
    <w:p w14:paraId="114B99BE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vyhrazení trvalého parkovacího místa 2 Kč,</w:t>
      </w:r>
    </w:p>
    <w:p w14:paraId="1C55DA27" w14:textId="66A34E82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užívání veřejného prostranství pro </w:t>
      </w:r>
      <w:r w:rsidR="00822968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reklamní</w:t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 xml:space="preserve"> akce 10 Kč,</w:t>
      </w:r>
    </w:p>
    <w:p w14:paraId="1C9915D0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užívání veřejného prostranství pro potřeby tvorby filmových a televizních děl 10 Kč.</w:t>
      </w:r>
    </w:p>
    <w:p w14:paraId="37E690AC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lastRenderedPageBreak/>
        <w:t>Čl. 6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Splatnost poplatku</w:t>
      </w:r>
    </w:p>
    <w:p w14:paraId="2348F499" w14:textId="77777777" w:rsidR="00BE164F" w:rsidRPr="00BE164F" w:rsidRDefault="00BE164F" w:rsidP="00BE164F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je splatný v den ukončení užívání veřejného prostranství.</w:t>
      </w:r>
    </w:p>
    <w:p w14:paraId="40DC4A74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7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 xml:space="preserve"> Osvobození</w:t>
      </w:r>
    </w:p>
    <w:p w14:paraId="5E2118CF" w14:textId="77777777" w:rsidR="00BE164F" w:rsidRPr="00BE164F" w:rsidRDefault="00BE164F" w:rsidP="00BE164F">
      <w:pPr>
        <w:numPr>
          <w:ilvl w:val="0"/>
          <w:numId w:val="39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Poplatek se neplatí:</w:t>
      </w:r>
    </w:p>
    <w:p w14:paraId="36C1A0C8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 vyhrazení trvalého parkovacího místa pro osobu, která je držitelem průkazu ZTP nebo ZTP/P,</w:t>
      </w:r>
    </w:p>
    <w:p w14:paraId="3D41DB7E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 akcí pořádaných na veřejném prostranství, jejichž celý výtěžek je odveden na charitativní a veřejně prospěšné účely</w:t>
      </w:r>
      <w:r w:rsidRPr="00BE164F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228E4B84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Od poplatku se dále osvobozují:</w:t>
      </w:r>
    </w:p>
    <w:p w14:paraId="47F3B928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obec Kamenný Újezd,</w:t>
      </w:r>
    </w:p>
    <w:p w14:paraId="6C1301D4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stavebníci při umístění stavebního zařízení za účelem opravy opláštění budovy,</w:t>
      </w:r>
    </w:p>
    <w:p w14:paraId="303A1B1A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stavebníci při uložení stavebního materiálu během realizace povolené stavby na dobu prvních 30 dnů,</w:t>
      </w:r>
    </w:p>
    <w:p w14:paraId="402E7C4D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poplatníci při umístění skládky palivového dřeva na dobu prvních 24 hodin,</w:t>
      </w:r>
    </w:p>
    <w:p w14:paraId="5263773B" w14:textId="77777777" w:rsidR="00BE164F" w:rsidRPr="00BE164F" w:rsidRDefault="00BE164F" w:rsidP="00BE164F">
      <w:pPr>
        <w:numPr>
          <w:ilvl w:val="1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poplatníci, kteří užívají veřejné prostranství na základě nájemní smlouvy.</w:t>
      </w:r>
    </w:p>
    <w:p w14:paraId="4CE1E36E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BE164F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10DEDA5D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8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 xml:space="preserve"> Přechodné a zrušovací ustanovení</w:t>
      </w:r>
    </w:p>
    <w:p w14:paraId="506BEEBC" w14:textId="77777777" w:rsidR="00BE164F" w:rsidRPr="00BE164F" w:rsidRDefault="00BE164F" w:rsidP="00BE164F">
      <w:pPr>
        <w:numPr>
          <w:ilvl w:val="0"/>
          <w:numId w:val="40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Poplatkové povinnosti vzniklé před nabytím účinnosti této vyhlášky se posuzují podle dosavadních právních předpisů.</w:t>
      </w:r>
    </w:p>
    <w:p w14:paraId="57B2910A" w14:textId="77777777" w:rsidR="00BE164F" w:rsidRPr="00BE164F" w:rsidRDefault="00BE164F" w:rsidP="00BE164F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Zrušuje se obecně závazná vyhláška č. 1/2020, o místním poplatku za užívání veřejného prostranství, ze dne 21. září 2020.</w:t>
      </w:r>
    </w:p>
    <w:p w14:paraId="7873184D" w14:textId="77777777" w:rsidR="00BE164F" w:rsidRPr="00BE164F" w:rsidRDefault="00BE164F" w:rsidP="00BE164F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9</w:t>
      </w:r>
      <w:r w:rsidRPr="00BE164F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Účinnost</w:t>
      </w:r>
    </w:p>
    <w:p w14:paraId="727842D9" w14:textId="77777777" w:rsidR="00BE164F" w:rsidRPr="00BE164F" w:rsidRDefault="00BE164F" w:rsidP="00BE164F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BE164F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Tato vyhláška nabývá účinnosti dnem 1. ledna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E164F" w:rsidRPr="00BE164F" w14:paraId="4B02602D" w14:textId="77777777" w:rsidTr="00BE164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A968DC" w14:textId="77777777" w:rsidR="00BE164F" w:rsidRPr="00BE164F" w:rsidRDefault="00BE164F" w:rsidP="00BE164F">
            <w:pPr>
              <w:widowControl w:val="0"/>
              <w:suppressLineNumbers/>
              <w:suppressAutoHyphens/>
              <w:autoSpaceDN w:val="0"/>
              <w:jc w:val="center"/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</w:pPr>
            <w:r w:rsidRPr="00BE164F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Mgr. Gabriela Stránská v. r.</w:t>
            </w:r>
            <w:r w:rsidRPr="00BE164F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028744D" w14:textId="77777777" w:rsidR="00BE164F" w:rsidRPr="00BE164F" w:rsidRDefault="00BE164F" w:rsidP="00BE164F">
            <w:pPr>
              <w:widowControl w:val="0"/>
              <w:suppressLineNumbers/>
              <w:suppressAutoHyphens/>
              <w:autoSpaceDN w:val="0"/>
              <w:jc w:val="center"/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</w:pPr>
            <w:r w:rsidRPr="00BE164F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Pavla Králiková, DiS. v. r.</w:t>
            </w:r>
            <w:r w:rsidRPr="00BE164F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14:paraId="05760686" w14:textId="77777777" w:rsidR="00F75A31" w:rsidRPr="00BE164F" w:rsidRDefault="00F75A31" w:rsidP="00F75A31">
      <w:pPr>
        <w:suppressAutoHyphens/>
        <w:autoSpaceDN w:val="0"/>
        <w:textAlignment w:val="baseline"/>
        <w:rPr>
          <w:rFonts w:ascii="Georgia" w:eastAsia="Songti SC" w:hAnsi="Georgia" w:cs="Arial Unicode MS"/>
          <w:kern w:val="3"/>
          <w:lang w:eastAsia="zh-CN" w:bidi="hi-IN"/>
        </w:rPr>
      </w:pPr>
    </w:p>
    <w:p w14:paraId="3E89A77D" w14:textId="77777777" w:rsidR="00AB218D" w:rsidRPr="000C2DC4" w:rsidRDefault="00AB218D" w:rsidP="00F75A3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8EF3" w14:textId="77777777" w:rsidR="00271C08" w:rsidRDefault="00271C08">
      <w:r>
        <w:separator/>
      </w:r>
    </w:p>
  </w:endnote>
  <w:endnote w:type="continuationSeparator" w:id="0">
    <w:p w14:paraId="3DE90C49" w14:textId="77777777" w:rsidR="00271C08" w:rsidRDefault="0027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8DB3" w14:textId="77777777" w:rsidR="00271C08" w:rsidRDefault="00271C08">
      <w:r>
        <w:separator/>
      </w:r>
    </w:p>
  </w:footnote>
  <w:footnote w:type="continuationSeparator" w:id="0">
    <w:p w14:paraId="694D2C4E" w14:textId="77777777" w:rsidR="00271C08" w:rsidRDefault="00271C08">
      <w:r>
        <w:continuationSeparator/>
      </w:r>
    </w:p>
  </w:footnote>
  <w:footnote w:id="1">
    <w:p w14:paraId="35306CA6" w14:textId="77777777" w:rsidR="00BE164F" w:rsidRPr="00BE164F" w:rsidRDefault="00BE164F" w:rsidP="00BE164F">
      <w:pPr>
        <w:pStyle w:val="Footnote"/>
        <w:rPr>
          <w:rFonts w:ascii="Georgia" w:hAnsi="Georgia"/>
          <w:sz w:val="16"/>
          <w:szCs w:val="16"/>
        </w:rPr>
      </w:pPr>
      <w:r w:rsidRPr="00BE164F">
        <w:rPr>
          <w:rStyle w:val="Znakapoznpodarou"/>
          <w:rFonts w:ascii="Georgia" w:hAnsi="Georgia"/>
          <w:sz w:val="16"/>
          <w:szCs w:val="16"/>
        </w:rPr>
        <w:footnoteRef/>
      </w:r>
      <w:r w:rsidRPr="00BE164F">
        <w:rPr>
          <w:rFonts w:ascii="Georgia" w:hAnsi="Georgia"/>
          <w:sz w:val="16"/>
          <w:szCs w:val="16"/>
        </w:rPr>
        <w:t>§ 15 odst. 1 zákona o místních poplatcích</w:t>
      </w:r>
    </w:p>
  </w:footnote>
  <w:footnote w:id="2">
    <w:p w14:paraId="1DC4EF07" w14:textId="77777777" w:rsidR="00BE164F" w:rsidRPr="00BE164F" w:rsidRDefault="00BE164F" w:rsidP="00BE164F">
      <w:pPr>
        <w:pStyle w:val="Footnote"/>
        <w:rPr>
          <w:rFonts w:ascii="Georgia" w:hAnsi="Georgia"/>
          <w:sz w:val="16"/>
          <w:szCs w:val="16"/>
        </w:rPr>
      </w:pPr>
      <w:r w:rsidRPr="00BE164F">
        <w:rPr>
          <w:rStyle w:val="Znakapoznpodarou"/>
          <w:rFonts w:ascii="Georgia" w:hAnsi="Georgia"/>
          <w:sz w:val="16"/>
          <w:szCs w:val="16"/>
        </w:rPr>
        <w:footnoteRef/>
      </w:r>
      <w:r w:rsidRPr="00BE164F">
        <w:rPr>
          <w:rFonts w:ascii="Georgia" w:hAnsi="Georgia"/>
          <w:sz w:val="16"/>
          <w:szCs w:val="16"/>
        </w:rPr>
        <w:t>§ 4 odst. 1 zákona o místních poplatcích</w:t>
      </w:r>
    </w:p>
  </w:footnote>
  <w:footnote w:id="3">
    <w:p w14:paraId="2712A767" w14:textId="77777777" w:rsidR="00BE164F" w:rsidRPr="00BE164F" w:rsidRDefault="00BE164F" w:rsidP="00BE164F">
      <w:pPr>
        <w:pStyle w:val="Footnote"/>
        <w:rPr>
          <w:rFonts w:ascii="Georgia" w:hAnsi="Georgia"/>
          <w:sz w:val="16"/>
          <w:szCs w:val="16"/>
        </w:rPr>
      </w:pPr>
      <w:r w:rsidRPr="00BE164F">
        <w:rPr>
          <w:rStyle w:val="Znakapoznpodarou"/>
          <w:rFonts w:ascii="Georgia" w:hAnsi="Georgia"/>
          <w:sz w:val="16"/>
          <w:szCs w:val="16"/>
        </w:rPr>
        <w:footnoteRef/>
      </w:r>
      <w:r w:rsidRPr="00BE164F">
        <w:rPr>
          <w:rFonts w:ascii="Georgia" w:hAnsi="Georgia"/>
          <w:sz w:val="16"/>
          <w:szCs w:val="16"/>
        </w:rPr>
        <w:t>§ 4 odst. 2 zákona o místních poplatcích</w:t>
      </w:r>
    </w:p>
  </w:footnote>
  <w:footnote w:id="4">
    <w:p w14:paraId="11ACD551" w14:textId="77777777" w:rsidR="00BE164F" w:rsidRPr="00BE164F" w:rsidRDefault="00BE164F" w:rsidP="00BE164F">
      <w:pPr>
        <w:pStyle w:val="Footnote"/>
        <w:rPr>
          <w:rFonts w:ascii="Georgia" w:hAnsi="Georgia"/>
          <w:sz w:val="16"/>
          <w:szCs w:val="16"/>
        </w:rPr>
      </w:pPr>
      <w:r w:rsidRPr="00BE164F">
        <w:rPr>
          <w:rStyle w:val="Znakapoznpodarou"/>
          <w:rFonts w:ascii="Georgia" w:hAnsi="Georgia"/>
          <w:sz w:val="16"/>
          <w:szCs w:val="16"/>
        </w:rPr>
        <w:footnoteRef/>
      </w:r>
      <w:r w:rsidRPr="00BE164F">
        <w:rPr>
          <w:rFonts w:ascii="Georgia" w:hAnsi="Georgia"/>
          <w:sz w:val="16"/>
          <w:szCs w:val="16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E802F10" w14:textId="77777777" w:rsidR="00BE164F" w:rsidRPr="00BE164F" w:rsidRDefault="00BE164F" w:rsidP="00BE164F">
      <w:pPr>
        <w:pStyle w:val="Footnote"/>
        <w:rPr>
          <w:rFonts w:ascii="Georgia" w:hAnsi="Georgia"/>
          <w:sz w:val="16"/>
          <w:szCs w:val="16"/>
        </w:rPr>
      </w:pPr>
      <w:r w:rsidRPr="00BE164F">
        <w:rPr>
          <w:rStyle w:val="Znakapoznpodarou"/>
          <w:rFonts w:ascii="Georgia" w:hAnsi="Georgia"/>
          <w:sz w:val="16"/>
          <w:szCs w:val="16"/>
        </w:rPr>
        <w:footnoteRef/>
      </w:r>
      <w:r w:rsidRPr="00BE164F">
        <w:rPr>
          <w:rFonts w:ascii="Georgia" w:hAnsi="Georgia"/>
          <w:sz w:val="16"/>
          <w:szCs w:val="16"/>
        </w:rPr>
        <w:t>§ 14a odst. 4 zákona o místních poplatcích</w:t>
      </w:r>
    </w:p>
  </w:footnote>
  <w:footnote w:id="6">
    <w:p w14:paraId="069A39DB" w14:textId="77777777" w:rsidR="00BE164F" w:rsidRPr="00BE164F" w:rsidRDefault="00BE164F" w:rsidP="00BE164F">
      <w:pPr>
        <w:pStyle w:val="Footnote"/>
        <w:rPr>
          <w:rFonts w:ascii="Georgia" w:hAnsi="Georgia"/>
          <w:sz w:val="16"/>
          <w:szCs w:val="16"/>
        </w:rPr>
      </w:pPr>
      <w:r w:rsidRPr="00BE164F">
        <w:rPr>
          <w:rStyle w:val="Znakapoznpodarou"/>
          <w:rFonts w:ascii="Georgia" w:hAnsi="Georgia"/>
          <w:sz w:val="16"/>
          <w:szCs w:val="16"/>
        </w:rPr>
        <w:footnoteRef/>
      </w:r>
      <w:r w:rsidRPr="00BE164F">
        <w:rPr>
          <w:rFonts w:ascii="Georgia" w:hAnsi="Georgia"/>
          <w:sz w:val="16"/>
          <w:szCs w:val="16"/>
        </w:rPr>
        <w:t>§ 4 odst. 1 zákona o místních poplatcích</w:t>
      </w:r>
    </w:p>
  </w:footnote>
  <w:footnote w:id="7">
    <w:p w14:paraId="65AA2D25" w14:textId="77777777" w:rsidR="00BE164F" w:rsidRPr="00BE164F" w:rsidRDefault="00BE164F" w:rsidP="00BE164F">
      <w:pPr>
        <w:pStyle w:val="Footnote"/>
        <w:rPr>
          <w:rFonts w:ascii="Georgia" w:hAnsi="Georgia"/>
          <w:sz w:val="16"/>
          <w:szCs w:val="16"/>
        </w:rPr>
      </w:pPr>
      <w:r w:rsidRPr="00BE164F">
        <w:rPr>
          <w:rStyle w:val="Znakapoznpodarou"/>
          <w:rFonts w:ascii="Georgia" w:hAnsi="Georgia"/>
          <w:sz w:val="16"/>
          <w:szCs w:val="16"/>
        </w:rPr>
        <w:footnoteRef/>
      </w:r>
      <w:r w:rsidRPr="00BE164F">
        <w:rPr>
          <w:rFonts w:ascii="Georgia" w:hAnsi="Georgia"/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C072154"/>
    <w:multiLevelType w:val="hybridMultilevel"/>
    <w:tmpl w:val="682852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7C7EBB"/>
    <w:multiLevelType w:val="multilevel"/>
    <w:tmpl w:val="46DAA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53"/>
        </w:tabs>
        <w:ind w:left="385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632"/>
        </w:tabs>
        <w:ind w:left="46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52"/>
        </w:tabs>
        <w:ind w:left="53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B577F70"/>
    <w:multiLevelType w:val="hybridMultilevel"/>
    <w:tmpl w:val="85A814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93056"/>
    <w:multiLevelType w:val="multilevel"/>
    <w:tmpl w:val="03AC42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655B200B"/>
    <w:multiLevelType w:val="hybridMultilevel"/>
    <w:tmpl w:val="39200984"/>
    <w:lvl w:ilvl="0" w:tplc="8B723D58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226014">
    <w:abstractNumId w:val="10"/>
  </w:num>
  <w:num w:numId="2" w16cid:durableId="1007711837">
    <w:abstractNumId w:val="29"/>
  </w:num>
  <w:num w:numId="3" w16cid:durableId="102502434">
    <w:abstractNumId w:val="7"/>
  </w:num>
  <w:num w:numId="4" w16cid:durableId="545873014">
    <w:abstractNumId w:val="19"/>
  </w:num>
  <w:num w:numId="5" w16cid:durableId="243994875">
    <w:abstractNumId w:val="18"/>
  </w:num>
  <w:num w:numId="6" w16cid:durableId="299768804">
    <w:abstractNumId w:val="24"/>
  </w:num>
  <w:num w:numId="7" w16cid:durableId="1330862734">
    <w:abstractNumId w:val="12"/>
  </w:num>
  <w:num w:numId="8" w16cid:durableId="1386300397">
    <w:abstractNumId w:val="3"/>
  </w:num>
  <w:num w:numId="9" w16cid:durableId="1947229310">
    <w:abstractNumId w:val="23"/>
  </w:num>
  <w:num w:numId="10" w16cid:durableId="37903238">
    <w:abstractNumId w:val="11"/>
  </w:num>
  <w:num w:numId="11" w16cid:durableId="150291523">
    <w:abstractNumId w:val="25"/>
  </w:num>
  <w:num w:numId="12" w16cid:durableId="1127354200">
    <w:abstractNumId w:val="13"/>
  </w:num>
  <w:num w:numId="13" w16cid:durableId="1585720271">
    <w:abstractNumId w:val="8"/>
  </w:num>
  <w:num w:numId="14" w16cid:durableId="1325745029">
    <w:abstractNumId w:val="4"/>
  </w:num>
  <w:num w:numId="15" w16cid:durableId="692732816">
    <w:abstractNumId w:val="1"/>
  </w:num>
  <w:num w:numId="16" w16cid:durableId="384640303">
    <w:abstractNumId w:val="27"/>
  </w:num>
  <w:num w:numId="17" w16cid:durableId="317537139">
    <w:abstractNumId w:val="15"/>
  </w:num>
  <w:num w:numId="18" w16cid:durableId="1860073683">
    <w:abstractNumId w:val="0"/>
  </w:num>
  <w:num w:numId="19" w16cid:durableId="727220182">
    <w:abstractNumId w:val="28"/>
  </w:num>
  <w:num w:numId="20" w16cid:durableId="129828103">
    <w:abstractNumId w:val="20"/>
  </w:num>
  <w:num w:numId="21" w16cid:durableId="921647553">
    <w:abstractNumId w:val="16"/>
  </w:num>
  <w:num w:numId="22" w16cid:durableId="19550182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6870410">
    <w:abstractNumId w:val="2"/>
  </w:num>
  <w:num w:numId="24" w16cid:durableId="1694644762">
    <w:abstractNumId w:val="5"/>
  </w:num>
  <w:num w:numId="25" w16cid:durableId="520776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8954332">
    <w:abstractNumId w:val="26"/>
  </w:num>
  <w:num w:numId="27" w16cid:durableId="1576862693">
    <w:abstractNumId w:val="6"/>
  </w:num>
  <w:num w:numId="28" w16cid:durableId="218903256">
    <w:abstractNumId w:val="17"/>
  </w:num>
  <w:num w:numId="29" w16cid:durableId="1709838766">
    <w:abstractNumId w:val="22"/>
  </w:num>
  <w:num w:numId="30" w16cid:durableId="1188448651">
    <w:abstractNumId w:val="9"/>
  </w:num>
  <w:num w:numId="31" w16cid:durableId="131334759">
    <w:abstractNumId w:val="9"/>
    <w:lvlOverride w:ilvl="0">
      <w:startOverride w:val="1"/>
    </w:lvlOverride>
  </w:num>
  <w:num w:numId="32" w16cid:durableId="1859658136">
    <w:abstractNumId w:val="9"/>
    <w:lvlOverride w:ilvl="0">
      <w:startOverride w:val="1"/>
    </w:lvlOverride>
  </w:num>
  <w:num w:numId="33" w16cid:durableId="1241984870">
    <w:abstractNumId w:val="9"/>
    <w:lvlOverride w:ilvl="0">
      <w:startOverride w:val="1"/>
    </w:lvlOverride>
  </w:num>
  <w:num w:numId="34" w16cid:durableId="104273898">
    <w:abstractNumId w:val="9"/>
    <w:lvlOverride w:ilvl="0">
      <w:startOverride w:val="1"/>
    </w:lvlOverride>
  </w:num>
  <w:num w:numId="35" w16cid:durableId="473450914">
    <w:abstractNumId w:val="9"/>
    <w:lvlOverride w:ilvl="0">
      <w:startOverride w:val="1"/>
    </w:lvlOverride>
  </w:num>
  <w:num w:numId="36" w16cid:durableId="1204093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693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88282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920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7748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7E"/>
    <w:rsid w:val="00012545"/>
    <w:rsid w:val="0001721B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0E27"/>
    <w:rsid w:val="0008365C"/>
    <w:rsid w:val="000874B8"/>
    <w:rsid w:val="0009086F"/>
    <w:rsid w:val="00090A32"/>
    <w:rsid w:val="00091E54"/>
    <w:rsid w:val="0009546D"/>
    <w:rsid w:val="00097B2C"/>
    <w:rsid w:val="000A05E0"/>
    <w:rsid w:val="000A3157"/>
    <w:rsid w:val="000A49AB"/>
    <w:rsid w:val="000A78E8"/>
    <w:rsid w:val="000B4917"/>
    <w:rsid w:val="000B4D70"/>
    <w:rsid w:val="000C563C"/>
    <w:rsid w:val="000E2AC6"/>
    <w:rsid w:val="000E5654"/>
    <w:rsid w:val="000E7514"/>
    <w:rsid w:val="000F022D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11E7"/>
    <w:rsid w:val="001461A7"/>
    <w:rsid w:val="00146325"/>
    <w:rsid w:val="00156CD5"/>
    <w:rsid w:val="001572EB"/>
    <w:rsid w:val="00157B53"/>
    <w:rsid w:val="001613DE"/>
    <w:rsid w:val="001636AB"/>
    <w:rsid w:val="001647A0"/>
    <w:rsid w:val="00176399"/>
    <w:rsid w:val="00180F67"/>
    <w:rsid w:val="001859A3"/>
    <w:rsid w:val="00194B93"/>
    <w:rsid w:val="001A114C"/>
    <w:rsid w:val="001B2023"/>
    <w:rsid w:val="001B25C5"/>
    <w:rsid w:val="001C080C"/>
    <w:rsid w:val="001D18D0"/>
    <w:rsid w:val="001D6CCD"/>
    <w:rsid w:val="001E10BB"/>
    <w:rsid w:val="001F36F8"/>
    <w:rsid w:val="001F3CB9"/>
    <w:rsid w:val="002025FC"/>
    <w:rsid w:val="00212840"/>
    <w:rsid w:val="00213A58"/>
    <w:rsid w:val="00220F25"/>
    <w:rsid w:val="00222EAB"/>
    <w:rsid w:val="0023394C"/>
    <w:rsid w:val="00244A6D"/>
    <w:rsid w:val="00245566"/>
    <w:rsid w:val="00246E09"/>
    <w:rsid w:val="0024722A"/>
    <w:rsid w:val="00247C80"/>
    <w:rsid w:val="00261607"/>
    <w:rsid w:val="002644AF"/>
    <w:rsid w:val="00264C98"/>
    <w:rsid w:val="00271C08"/>
    <w:rsid w:val="0029212F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1EA0"/>
    <w:rsid w:val="00350D02"/>
    <w:rsid w:val="00356764"/>
    <w:rsid w:val="00357895"/>
    <w:rsid w:val="003757EA"/>
    <w:rsid w:val="00390716"/>
    <w:rsid w:val="00397518"/>
    <w:rsid w:val="003A0EFD"/>
    <w:rsid w:val="003A1269"/>
    <w:rsid w:val="003B022D"/>
    <w:rsid w:val="003B76EC"/>
    <w:rsid w:val="003B7989"/>
    <w:rsid w:val="003C099F"/>
    <w:rsid w:val="003C5034"/>
    <w:rsid w:val="003E128F"/>
    <w:rsid w:val="003E1E45"/>
    <w:rsid w:val="003E4684"/>
    <w:rsid w:val="003E60B7"/>
    <w:rsid w:val="003E69F4"/>
    <w:rsid w:val="003E7DFB"/>
    <w:rsid w:val="003F165C"/>
    <w:rsid w:val="003F1F0F"/>
    <w:rsid w:val="003F76A8"/>
    <w:rsid w:val="004009FE"/>
    <w:rsid w:val="00401E74"/>
    <w:rsid w:val="00403839"/>
    <w:rsid w:val="0040771F"/>
    <w:rsid w:val="004100B7"/>
    <w:rsid w:val="00410E15"/>
    <w:rsid w:val="00411863"/>
    <w:rsid w:val="00422430"/>
    <w:rsid w:val="00434960"/>
    <w:rsid w:val="00434C56"/>
    <w:rsid w:val="00437160"/>
    <w:rsid w:val="00444302"/>
    <w:rsid w:val="00447F0E"/>
    <w:rsid w:val="00450251"/>
    <w:rsid w:val="004517C2"/>
    <w:rsid w:val="0045697D"/>
    <w:rsid w:val="004617B1"/>
    <w:rsid w:val="00470D98"/>
    <w:rsid w:val="0047255E"/>
    <w:rsid w:val="004733F1"/>
    <w:rsid w:val="00473639"/>
    <w:rsid w:val="00474AFD"/>
    <w:rsid w:val="004A2F6B"/>
    <w:rsid w:val="004A5767"/>
    <w:rsid w:val="004A6DDA"/>
    <w:rsid w:val="004B15E3"/>
    <w:rsid w:val="004B5663"/>
    <w:rsid w:val="004C0F9A"/>
    <w:rsid w:val="004C7F6D"/>
    <w:rsid w:val="004D01DB"/>
    <w:rsid w:val="004D3A24"/>
    <w:rsid w:val="004D742F"/>
    <w:rsid w:val="004E090F"/>
    <w:rsid w:val="004E6313"/>
    <w:rsid w:val="004F2551"/>
    <w:rsid w:val="004F7518"/>
    <w:rsid w:val="005113E8"/>
    <w:rsid w:val="00514BC5"/>
    <w:rsid w:val="00516744"/>
    <w:rsid w:val="00530332"/>
    <w:rsid w:val="005325F5"/>
    <w:rsid w:val="0054071F"/>
    <w:rsid w:val="0054434D"/>
    <w:rsid w:val="005505CC"/>
    <w:rsid w:val="005563CE"/>
    <w:rsid w:val="00556B60"/>
    <w:rsid w:val="00557C62"/>
    <w:rsid w:val="00560DD0"/>
    <w:rsid w:val="00560FEE"/>
    <w:rsid w:val="005641AD"/>
    <w:rsid w:val="005806EF"/>
    <w:rsid w:val="005836D4"/>
    <w:rsid w:val="005850B5"/>
    <w:rsid w:val="00585F3C"/>
    <w:rsid w:val="005A0C5C"/>
    <w:rsid w:val="005A1B5F"/>
    <w:rsid w:val="005B5336"/>
    <w:rsid w:val="005C1159"/>
    <w:rsid w:val="005C1452"/>
    <w:rsid w:val="005C3118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4483"/>
    <w:rsid w:val="00616647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03DB"/>
    <w:rsid w:val="00671064"/>
    <w:rsid w:val="00673A30"/>
    <w:rsid w:val="006740BA"/>
    <w:rsid w:val="00681650"/>
    <w:rsid w:val="00690B7F"/>
    <w:rsid w:val="00693C29"/>
    <w:rsid w:val="006943B6"/>
    <w:rsid w:val="00695504"/>
    <w:rsid w:val="006974B9"/>
    <w:rsid w:val="006A4968"/>
    <w:rsid w:val="006A5567"/>
    <w:rsid w:val="006B025A"/>
    <w:rsid w:val="006B4B79"/>
    <w:rsid w:val="006B68A9"/>
    <w:rsid w:val="006B7071"/>
    <w:rsid w:val="006C00AF"/>
    <w:rsid w:val="006C2E3F"/>
    <w:rsid w:val="006C4EC2"/>
    <w:rsid w:val="006D5CD3"/>
    <w:rsid w:val="006D7726"/>
    <w:rsid w:val="006F148B"/>
    <w:rsid w:val="0071251C"/>
    <w:rsid w:val="00730534"/>
    <w:rsid w:val="0073636B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86338"/>
    <w:rsid w:val="00790287"/>
    <w:rsid w:val="00793969"/>
    <w:rsid w:val="00793F7C"/>
    <w:rsid w:val="007A3595"/>
    <w:rsid w:val="007B2C89"/>
    <w:rsid w:val="007C6025"/>
    <w:rsid w:val="007C70AD"/>
    <w:rsid w:val="007D096B"/>
    <w:rsid w:val="007D14CD"/>
    <w:rsid w:val="007D1E6E"/>
    <w:rsid w:val="007D287A"/>
    <w:rsid w:val="007D3CBD"/>
    <w:rsid w:val="007D6E51"/>
    <w:rsid w:val="007E0DA5"/>
    <w:rsid w:val="007E1269"/>
    <w:rsid w:val="007E1DB2"/>
    <w:rsid w:val="007E3F07"/>
    <w:rsid w:val="007E66AA"/>
    <w:rsid w:val="007F2253"/>
    <w:rsid w:val="007F751F"/>
    <w:rsid w:val="00800A25"/>
    <w:rsid w:val="00805CC4"/>
    <w:rsid w:val="00813089"/>
    <w:rsid w:val="00822968"/>
    <w:rsid w:val="00824956"/>
    <w:rsid w:val="00824D25"/>
    <w:rsid w:val="008328C4"/>
    <w:rsid w:val="00837132"/>
    <w:rsid w:val="008523F0"/>
    <w:rsid w:val="0085626D"/>
    <w:rsid w:val="00857298"/>
    <w:rsid w:val="00860177"/>
    <w:rsid w:val="00866E03"/>
    <w:rsid w:val="008715AC"/>
    <w:rsid w:val="00881C7D"/>
    <w:rsid w:val="00882D52"/>
    <w:rsid w:val="00890A35"/>
    <w:rsid w:val="00890DF5"/>
    <w:rsid w:val="00893A78"/>
    <w:rsid w:val="008A1B6C"/>
    <w:rsid w:val="008A2DF8"/>
    <w:rsid w:val="008B1837"/>
    <w:rsid w:val="008B265A"/>
    <w:rsid w:val="008B4D75"/>
    <w:rsid w:val="008C0DD2"/>
    <w:rsid w:val="008C374C"/>
    <w:rsid w:val="008C6F3D"/>
    <w:rsid w:val="008E16BF"/>
    <w:rsid w:val="008E5D45"/>
    <w:rsid w:val="008E7074"/>
    <w:rsid w:val="008F0C7A"/>
    <w:rsid w:val="00902102"/>
    <w:rsid w:val="0090767C"/>
    <w:rsid w:val="009079F0"/>
    <w:rsid w:val="00907BB8"/>
    <w:rsid w:val="009176DD"/>
    <w:rsid w:val="0092607F"/>
    <w:rsid w:val="009350D2"/>
    <w:rsid w:val="00945F0D"/>
    <w:rsid w:val="00946A28"/>
    <w:rsid w:val="0096684D"/>
    <w:rsid w:val="009671FD"/>
    <w:rsid w:val="0097030C"/>
    <w:rsid w:val="00970CDB"/>
    <w:rsid w:val="00971616"/>
    <w:rsid w:val="009838AB"/>
    <w:rsid w:val="00993068"/>
    <w:rsid w:val="00993790"/>
    <w:rsid w:val="00997360"/>
    <w:rsid w:val="009A5EDC"/>
    <w:rsid w:val="009B41B7"/>
    <w:rsid w:val="009B5917"/>
    <w:rsid w:val="009B728E"/>
    <w:rsid w:val="009C3D9D"/>
    <w:rsid w:val="009C6649"/>
    <w:rsid w:val="009D09ED"/>
    <w:rsid w:val="009D2F2A"/>
    <w:rsid w:val="009E14C3"/>
    <w:rsid w:val="009E237E"/>
    <w:rsid w:val="009E32AD"/>
    <w:rsid w:val="009F439E"/>
    <w:rsid w:val="00A03E97"/>
    <w:rsid w:val="00A10FB8"/>
    <w:rsid w:val="00A11E1C"/>
    <w:rsid w:val="00A14FC7"/>
    <w:rsid w:val="00A17E61"/>
    <w:rsid w:val="00A25230"/>
    <w:rsid w:val="00A25979"/>
    <w:rsid w:val="00A33ECE"/>
    <w:rsid w:val="00A35B09"/>
    <w:rsid w:val="00A40313"/>
    <w:rsid w:val="00A40F04"/>
    <w:rsid w:val="00A70257"/>
    <w:rsid w:val="00A7253D"/>
    <w:rsid w:val="00A74351"/>
    <w:rsid w:val="00A7709D"/>
    <w:rsid w:val="00A93B1C"/>
    <w:rsid w:val="00AB218D"/>
    <w:rsid w:val="00AB3118"/>
    <w:rsid w:val="00AB69AB"/>
    <w:rsid w:val="00AC7426"/>
    <w:rsid w:val="00AD1ADC"/>
    <w:rsid w:val="00AE1D36"/>
    <w:rsid w:val="00AE6BEB"/>
    <w:rsid w:val="00B037E3"/>
    <w:rsid w:val="00B1791A"/>
    <w:rsid w:val="00B224DE"/>
    <w:rsid w:val="00B243AD"/>
    <w:rsid w:val="00B2466D"/>
    <w:rsid w:val="00B36D09"/>
    <w:rsid w:val="00B411F8"/>
    <w:rsid w:val="00B422CA"/>
    <w:rsid w:val="00B42C52"/>
    <w:rsid w:val="00B47CE7"/>
    <w:rsid w:val="00B51BA8"/>
    <w:rsid w:val="00B53E98"/>
    <w:rsid w:val="00B6175C"/>
    <w:rsid w:val="00B62D43"/>
    <w:rsid w:val="00B659EF"/>
    <w:rsid w:val="00B81ED6"/>
    <w:rsid w:val="00B83E73"/>
    <w:rsid w:val="00B92077"/>
    <w:rsid w:val="00B93C55"/>
    <w:rsid w:val="00B94DD8"/>
    <w:rsid w:val="00BA2CD2"/>
    <w:rsid w:val="00BA6533"/>
    <w:rsid w:val="00BB4552"/>
    <w:rsid w:val="00BB5136"/>
    <w:rsid w:val="00BC55D3"/>
    <w:rsid w:val="00BC7D23"/>
    <w:rsid w:val="00BD0E0E"/>
    <w:rsid w:val="00BD621A"/>
    <w:rsid w:val="00BE164F"/>
    <w:rsid w:val="00BF3D99"/>
    <w:rsid w:val="00BF7A3F"/>
    <w:rsid w:val="00C0285F"/>
    <w:rsid w:val="00C048A1"/>
    <w:rsid w:val="00C11D1C"/>
    <w:rsid w:val="00C24BFC"/>
    <w:rsid w:val="00C3792D"/>
    <w:rsid w:val="00C422E9"/>
    <w:rsid w:val="00C62D15"/>
    <w:rsid w:val="00C63546"/>
    <w:rsid w:val="00C72414"/>
    <w:rsid w:val="00C76234"/>
    <w:rsid w:val="00C81F44"/>
    <w:rsid w:val="00C859F1"/>
    <w:rsid w:val="00C919CB"/>
    <w:rsid w:val="00C91CE6"/>
    <w:rsid w:val="00C95B76"/>
    <w:rsid w:val="00CA6247"/>
    <w:rsid w:val="00CA7846"/>
    <w:rsid w:val="00CB2CAC"/>
    <w:rsid w:val="00CC0C6C"/>
    <w:rsid w:val="00CD292B"/>
    <w:rsid w:val="00CE1E08"/>
    <w:rsid w:val="00CE25CC"/>
    <w:rsid w:val="00CE73FD"/>
    <w:rsid w:val="00CE76EE"/>
    <w:rsid w:val="00D005D2"/>
    <w:rsid w:val="00D01EC6"/>
    <w:rsid w:val="00D0505C"/>
    <w:rsid w:val="00D15693"/>
    <w:rsid w:val="00D15D96"/>
    <w:rsid w:val="00D257A8"/>
    <w:rsid w:val="00D25CF9"/>
    <w:rsid w:val="00D27F69"/>
    <w:rsid w:val="00D30B06"/>
    <w:rsid w:val="00D322C1"/>
    <w:rsid w:val="00D412EB"/>
    <w:rsid w:val="00D45DCE"/>
    <w:rsid w:val="00D52C4C"/>
    <w:rsid w:val="00D53746"/>
    <w:rsid w:val="00D55E44"/>
    <w:rsid w:val="00D71E50"/>
    <w:rsid w:val="00D7413C"/>
    <w:rsid w:val="00D76D4C"/>
    <w:rsid w:val="00D87915"/>
    <w:rsid w:val="00D95E7D"/>
    <w:rsid w:val="00DA5DDD"/>
    <w:rsid w:val="00DB5502"/>
    <w:rsid w:val="00DB6C88"/>
    <w:rsid w:val="00DC243C"/>
    <w:rsid w:val="00DC3796"/>
    <w:rsid w:val="00DD5D09"/>
    <w:rsid w:val="00DE3BF3"/>
    <w:rsid w:val="00DF3E59"/>
    <w:rsid w:val="00E01575"/>
    <w:rsid w:val="00E22095"/>
    <w:rsid w:val="00E22D30"/>
    <w:rsid w:val="00E40B39"/>
    <w:rsid w:val="00E53492"/>
    <w:rsid w:val="00E53FF5"/>
    <w:rsid w:val="00E64DF2"/>
    <w:rsid w:val="00E653EB"/>
    <w:rsid w:val="00E67D93"/>
    <w:rsid w:val="00E7026C"/>
    <w:rsid w:val="00E80BB9"/>
    <w:rsid w:val="00E8103B"/>
    <w:rsid w:val="00E814C3"/>
    <w:rsid w:val="00E81526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0B5F"/>
    <w:rsid w:val="00F0217B"/>
    <w:rsid w:val="00F03F40"/>
    <w:rsid w:val="00F126DC"/>
    <w:rsid w:val="00F15EBC"/>
    <w:rsid w:val="00F227B2"/>
    <w:rsid w:val="00F300A9"/>
    <w:rsid w:val="00F31CB3"/>
    <w:rsid w:val="00F412F6"/>
    <w:rsid w:val="00F44970"/>
    <w:rsid w:val="00F57F0E"/>
    <w:rsid w:val="00F63A20"/>
    <w:rsid w:val="00F651F2"/>
    <w:rsid w:val="00F67466"/>
    <w:rsid w:val="00F73E3D"/>
    <w:rsid w:val="00F75A31"/>
    <w:rsid w:val="00F96128"/>
    <w:rsid w:val="00FA13E1"/>
    <w:rsid w:val="00FA4A6E"/>
    <w:rsid w:val="00FC302A"/>
    <w:rsid w:val="00FE4890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04C3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93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B1C"/>
    <w:rPr>
      <w:sz w:val="24"/>
      <w:szCs w:val="24"/>
    </w:rPr>
  </w:style>
  <w:style w:type="paragraph" w:styleId="Revize">
    <w:name w:val="Revision"/>
    <w:hidden/>
    <w:uiPriority w:val="99"/>
    <w:semiHidden/>
    <w:rsid w:val="00560FE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CC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B4B79"/>
    <w:pPr>
      <w:ind w:left="720"/>
      <w:contextualSpacing/>
    </w:pPr>
  </w:style>
  <w:style w:type="table" w:styleId="Mkatabulky">
    <w:name w:val="Table Grid"/>
    <w:basedOn w:val="Normlntabulka"/>
    <w:uiPriority w:val="59"/>
    <w:rsid w:val="007E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F75A3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Polcarová</cp:lastModifiedBy>
  <cp:revision>4</cp:revision>
  <cp:lastPrinted>2023-10-14T09:23:00Z</cp:lastPrinted>
  <dcterms:created xsi:type="dcterms:W3CDTF">2023-12-03T21:07:00Z</dcterms:created>
  <dcterms:modified xsi:type="dcterms:W3CDTF">2023-12-14T18:32:00Z</dcterms:modified>
</cp:coreProperties>
</file>