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14DDF" w14:textId="77777777" w:rsidR="00230A44" w:rsidRDefault="00230A44" w:rsidP="00230A4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Lázně Toušeň</w:t>
      </w:r>
    </w:p>
    <w:p w14:paraId="6506AD1E" w14:textId="641CA02F" w:rsidR="00230A44" w:rsidRDefault="00230A44" w:rsidP="00230A44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městyse Lázně Toušeň</w:t>
      </w:r>
    </w:p>
    <w:p w14:paraId="4C2C3FAC" w14:textId="77777777" w:rsidR="00230A44" w:rsidRPr="0062486B" w:rsidRDefault="00230A44" w:rsidP="00230A4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61B8846" w14:textId="77777777" w:rsidR="00E93649" w:rsidRDefault="00230A44" w:rsidP="00E9364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městyse Lázně Toušeň</w:t>
      </w:r>
      <w:r w:rsidR="00E93649">
        <w:rPr>
          <w:rFonts w:ascii="Arial" w:hAnsi="Arial" w:cs="Arial"/>
          <w:b/>
          <w:sz w:val="24"/>
          <w:szCs w:val="24"/>
        </w:rPr>
        <w:t xml:space="preserve">, </w:t>
      </w:r>
    </w:p>
    <w:p w14:paraId="316C12EF" w14:textId="656D1DC2" w:rsidR="00230A44" w:rsidRDefault="00395AE1" w:rsidP="00E9364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zvyšuje koeficient, jímž se násobí sazba daně u skupiny stavebních pozemků</w:t>
      </w:r>
    </w:p>
    <w:p w14:paraId="1A1F2202" w14:textId="77777777" w:rsidR="00230A44" w:rsidRPr="0062486B" w:rsidRDefault="00230A44" w:rsidP="00230A44">
      <w:pPr>
        <w:spacing w:line="276" w:lineRule="auto"/>
        <w:jc w:val="center"/>
        <w:rPr>
          <w:rFonts w:ascii="Arial" w:hAnsi="Arial" w:cs="Arial"/>
        </w:rPr>
      </w:pPr>
    </w:p>
    <w:p w14:paraId="37686FA2" w14:textId="2751835D" w:rsidR="00230A44" w:rsidRDefault="00230A44" w:rsidP="00230A44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městyse Lázně Toušeň se na svém zasedání dne </w:t>
      </w:r>
      <w:r w:rsidR="00A16EB9">
        <w:rPr>
          <w:rFonts w:ascii="Arial" w:hAnsi="Arial" w:cs="Arial"/>
        </w:rPr>
        <w:t>18. září</w:t>
      </w:r>
      <w:r>
        <w:rPr>
          <w:rFonts w:ascii="Arial" w:hAnsi="Arial" w:cs="Arial"/>
        </w:rPr>
        <w:t xml:space="preserve"> 2024</w:t>
      </w:r>
      <w:r w:rsidRPr="00851874">
        <w:rPr>
          <w:rFonts w:ascii="Arial" w:hAnsi="Arial" w:cs="Arial"/>
        </w:rPr>
        <w:t xml:space="preserve"> usneslo vydat na základě </w:t>
      </w:r>
      <w:r w:rsidR="00395AE1" w:rsidRPr="00DA3552">
        <w:rPr>
          <w:rFonts w:ascii="Arial" w:hAnsi="Arial" w:cs="Arial"/>
        </w:rPr>
        <w:t xml:space="preserve">§ 6 odst. 4 </w:t>
      </w:r>
      <w:r w:rsidR="00395AE1">
        <w:rPr>
          <w:rFonts w:ascii="Arial" w:hAnsi="Arial" w:cs="Arial"/>
        </w:rPr>
        <w:t>zákona č. 338/1992 Sb., o </w:t>
      </w:r>
      <w:r w:rsidR="00395AE1" w:rsidRPr="00DA3552">
        <w:rPr>
          <w:rFonts w:ascii="Arial" w:hAnsi="Arial" w:cs="Arial"/>
        </w:rPr>
        <w:t>dani z</w:t>
      </w:r>
      <w:r w:rsidR="00395AE1">
        <w:rPr>
          <w:rFonts w:ascii="Arial" w:hAnsi="Arial" w:cs="Arial"/>
        </w:rPr>
        <w:t> </w:t>
      </w:r>
      <w:r w:rsidR="00395AE1" w:rsidRPr="00DA3552">
        <w:rPr>
          <w:rFonts w:ascii="Arial" w:hAnsi="Arial" w:cs="Arial"/>
        </w:rPr>
        <w:t>nemovitých věcí, ve znění pozdějších předpisů (dále jen „zákon o dani z nemovitých věcí“)</w:t>
      </w:r>
      <w:r w:rsidR="00395AE1">
        <w:rPr>
          <w:rFonts w:ascii="Arial" w:hAnsi="Arial" w:cs="Arial"/>
        </w:rPr>
        <w:t>, a v souladu s § 10 písm. d)</w:t>
      </w:r>
      <w:r w:rsidR="00395AE1" w:rsidRPr="00DA3552">
        <w:rPr>
          <w:rFonts w:ascii="Arial" w:hAnsi="Arial" w:cs="Arial"/>
        </w:rPr>
        <w:t xml:space="preserve"> a</w:t>
      </w:r>
      <w:r w:rsidR="00395AE1">
        <w:rPr>
          <w:rFonts w:ascii="Arial" w:hAnsi="Arial" w:cs="Arial"/>
        </w:rPr>
        <w:t> </w:t>
      </w:r>
      <w:r w:rsidR="00395AE1" w:rsidRPr="00DA3552">
        <w:rPr>
          <w:rFonts w:ascii="Arial" w:hAnsi="Arial" w:cs="Arial"/>
        </w:rPr>
        <w:t>§ 84 odst.</w:t>
      </w:r>
      <w:r w:rsidR="00395AE1">
        <w:rPr>
          <w:rFonts w:ascii="Arial" w:hAnsi="Arial" w:cs="Arial"/>
        </w:rPr>
        <w:t> </w:t>
      </w:r>
      <w:r w:rsidR="00395AE1" w:rsidRPr="00DA3552">
        <w:rPr>
          <w:rFonts w:ascii="Arial" w:hAnsi="Arial" w:cs="Arial"/>
        </w:rPr>
        <w:t>2 písm. h) zákona č.</w:t>
      </w:r>
      <w:r w:rsidR="00395AE1">
        <w:rPr>
          <w:rFonts w:ascii="Arial" w:hAnsi="Arial" w:cs="Arial"/>
        </w:rPr>
        <w:t> </w:t>
      </w:r>
      <w:r w:rsidR="00395AE1" w:rsidRPr="00DA3552">
        <w:rPr>
          <w:rFonts w:ascii="Arial" w:hAnsi="Arial" w:cs="Arial"/>
        </w:rPr>
        <w:t>128/2000</w:t>
      </w:r>
      <w:r w:rsidR="00395AE1">
        <w:rPr>
          <w:rFonts w:ascii="Arial" w:hAnsi="Arial" w:cs="Arial"/>
        </w:rPr>
        <w:t> </w:t>
      </w:r>
      <w:r w:rsidR="00395AE1" w:rsidRPr="00DA3552">
        <w:rPr>
          <w:rFonts w:ascii="Arial" w:hAnsi="Arial" w:cs="Arial"/>
        </w:rPr>
        <w:t>Sb., o obcích (obecní zřízení), ve znění pozdějších předpisů, tuto obecně závaznou vyhlášku</w:t>
      </w:r>
      <w:r w:rsidR="00395AE1">
        <w:rPr>
          <w:rFonts w:ascii="Arial" w:hAnsi="Arial" w:cs="Arial"/>
        </w:rPr>
        <w:t>:</w:t>
      </w:r>
    </w:p>
    <w:p w14:paraId="3C8F6993" w14:textId="77777777" w:rsidR="00230A44" w:rsidRPr="0062486B" w:rsidRDefault="00230A44" w:rsidP="00230A44">
      <w:pPr>
        <w:spacing w:line="276" w:lineRule="auto"/>
        <w:rPr>
          <w:rFonts w:ascii="Arial" w:hAnsi="Arial" w:cs="Arial"/>
        </w:rPr>
      </w:pPr>
    </w:p>
    <w:p w14:paraId="64D2106E" w14:textId="77777777" w:rsidR="00230A44" w:rsidRDefault="00230A44" w:rsidP="00230A4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9CD389B" w14:textId="77777777" w:rsidR="00230A44" w:rsidRPr="005F7FAE" w:rsidRDefault="00230A44" w:rsidP="00230A4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100961E9" w14:textId="1D648C1C" w:rsidR="00395AE1" w:rsidRDefault="00395AE1" w:rsidP="00230A44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U</w:t>
      </w:r>
      <w:r w:rsidRPr="00C1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>se koeficient, jímž se násobí sazba daně, zvyšuje o jednu kategorii podle členění koeficientů dle § 6 odst. 3 zákona o dani z nemovitých věcí, a to pro všechny tyto pozemky na území celého městyse Lázně Toušeň.</w:t>
      </w:r>
      <w:r w:rsidR="00230A44">
        <w:rPr>
          <w:rFonts w:ascii="Arial" w:hAnsi="Arial" w:cs="Arial"/>
        </w:rPr>
        <w:tab/>
      </w:r>
    </w:p>
    <w:p w14:paraId="30CC6663" w14:textId="77777777" w:rsidR="00230A44" w:rsidRPr="00841557" w:rsidRDefault="00230A44" w:rsidP="00230A44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C80C380" w14:textId="77777777" w:rsidR="00230A44" w:rsidRPr="005F7FAE" w:rsidRDefault="00230A44" w:rsidP="00230A4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62D8DB2E" w14:textId="77777777" w:rsidR="00230A44" w:rsidRPr="005F7FAE" w:rsidRDefault="00230A44" w:rsidP="00230A4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45D5575" w14:textId="5601163B" w:rsidR="00230A44" w:rsidRPr="0062486B" w:rsidRDefault="00230A44" w:rsidP="00230A44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4229F9">
        <w:rPr>
          <w:rFonts w:ascii="Arial" w:hAnsi="Arial" w:cs="Arial"/>
        </w:rPr>
        <w:t xml:space="preserve">městyse Lázně Toušeň č. 2/2003 </w:t>
      </w:r>
      <w:r w:rsidR="0034136A">
        <w:rPr>
          <w:rFonts w:ascii="Arial" w:hAnsi="Arial" w:cs="Arial"/>
        </w:rPr>
        <w:t xml:space="preserve">o místním koeficientu daně z nemovitosti </w:t>
      </w:r>
      <w:r w:rsidR="004229F9">
        <w:rPr>
          <w:rFonts w:ascii="Arial" w:hAnsi="Arial" w:cs="Arial"/>
        </w:rPr>
        <w:t>ze dne 28. července 2003.</w:t>
      </w:r>
    </w:p>
    <w:p w14:paraId="7BA42E49" w14:textId="77777777" w:rsidR="00230A44" w:rsidRPr="0062486B" w:rsidRDefault="00230A44" w:rsidP="00230A44">
      <w:pPr>
        <w:spacing w:line="276" w:lineRule="auto"/>
        <w:rPr>
          <w:rFonts w:ascii="Arial" w:hAnsi="Arial" w:cs="Arial"/>
        </w:rPr>
      </w:pPr>
    </w:p>
    <w:p w14:paraId="64909CFB" w14:textId="77777777" w:rsidR="00230A44" w:rsidRDefault="00230A44" w:rsidP="00230A4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AE329C5" w14:textId="77777777" w:rsidR="00230A44" w:rsidRDefault="00230A44" w:rsidP="00230A44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7C62337" w14:textId="70172689" w:rsidR="00230A44" w:rsidRDefault="00230A44" w:rsidP="00230A4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34136A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67FDC3D9" w14:textId="77777777" w:rsidR="00AD6ACA" w:rsidRDefault="00AD6ACA" w:rsidP="00230A44">
      <w:pPr>
        <w:spacing w:line="276" w:lineRule="auto"/>
        <w:ind w:firstLine="709"/>
        <w:rPr>
          <w:rFonts w:ascii="Arial" w:hAnsi="Arial" w:cs="Arial"/>
        </w:rPr>
      </w:pPr>
    </w:p>
    <w:p w14:paraId="33495378" w14:textId="77777777" w:rsidR="00AD6ACA" w:rsidRDefault="00AD6ACA" w:rsidP="00230A44">
      <w:pPr>
        <w:spacing w:line="276" w:lineRule="auto"/>
        <w:ind w:firstLine="709"/>
        <w:rPr>
          <w:rFonts w:ascii="Arial" w:hAnsi="Arial" w:cs="Arial"/>
        </w:rPr>
      </w:pPr>
    </w:p>
    <w:p w14:paraId="588970E1" w14:textId="77777777" w:rsidR="00AD6ACA" w:rsidRDefault="00AD6ACA" w:rsidP="00230A44">
      <w:pPr>
        <w:spacing w:line="276" w:lineRule="auto"/>
        <w:ind w:firstLine="709"/>
        <w:rPr>
          <w:rFonts w:ascii="Arial" w:hAnsi="Arial" w:cs="Arial"/>
        </w:rPr>
      </w:pPr>
    </w:p>
    <w:p w14:paraId="1CA89AD8" w14:textId="34FE4F06" w:rsidR="00BE184B" w:rsidRDefault="00BE184B" w:rsidP="00BE184B">
      <w:pPr>
        <w:spacing w:line="276" w:lineRule="auto"/>
        <w:rPr>
          <w:rFonts w:ascii="Arial" w:hAnsi="Arial" w:cs="Arial"/>
        </w:rPr>
      </w:pPr>
    </w:p>
    <w:p w14:paraId="6F7C6C6E" w14:textId="77777777" w:rsidR="00AD6ACA" w:rsidRPr="00AD6ACA" w:rsidRDefault="00AD6ACA" w:rsidP="00AD6ACA">
      <w:pPr>
        <w:spacing w:line="276" w:lineRule="auto"/>
        <w:ind w:firstLine="709"/>
        <w:rPr>
          <w:rFonts w:ascii="Arial" w:hAnsi="Arial" w:cs="Arial"/>
        </w:rPr>
      </w:pPr>
      <w:r w:rsidRPr="00AD6ACA">
        <w:rPr>
          <w:rFonts w:ascii="Arial" w:hAnsi="Arial" w:cs="Arial"/>
        </w:rPr>
        <w:t xml:space="preserve">Ing. Luboš Valehrach, MBA, v. r. </w:t>
      </w:r>
      <w:r w:rsidRPr="00AD6ACA">
        <w:rPr>
          <w:rFonts w:ascii="Arial" w:hAnsi="Arial" w:cs="Arial"/>
        </w:rPr>
        <w:tab/>
      </w:r>
      <w:r w:rsidRPr="00AD6ACA">
        <w:rPr>
          <w:rFonts w:ascii="Arial" w:hAnsi="Arial" w:cs="Arial"/>
        </w:rPr>
        <w:tab/>
      </w:r>
      <w:r w:rsidRPr="00AD6ACA">
        <w:rPr>
          <w:rFonts w:ascii="Arial" w:hAnsi="Arial" w:cs="Arial"/>
        </w:rPr>
        <w:tab/>
        <w:t>Mgr. Jana Hadrbolcová, v. r.</w:t>
      </w:r>
    </w:p>
    <w:p w14:paraId="1358BB63" w14:textId="77777777" w:rsidR="00AD6ACA" w:rsidRPr="00AD6ACA" w:rsidRDefault="00AD6ACA" w:rsidP="00AD6ACA">
      <w:pPr>
        <w:spacing w:line="276" w:lineRule="auto"/>
        <w:ind w:firstLine="709"/>
        <w:rPr>
          <w:rFonts w:ascii="Arial" w:hAnsi="Arial" w:cs="Arial"/>
        </w:rPr>
      </w:pPr>
      <w:r w:rsidRPr="00AD6ACA">
        <w:rPr>
          <w:rFonts w:ascii="Arial" w:hAnsi="Arial" w:cs="Arial"/>
        </w:rPr>
        <w:t>starosta</w:t>
      </w:r>
      <w:r w:rsidRPr="00AD6ACA">
        <w:rPr>
          <w:rFonts w:ascii="Arial" w:hAnsi="Arial" w:cs="Arial"/>
        </w:rPr>
        <w:tab/>
      </w:r>
      <w:r w:rsidRPr="00AD6ACA">
        <w:rPr>
          <w:rFonts w:ascii="Arial" w:hAnsi="Arial" w:cs="Arial"/>
        </w:rPr>
        <w:tab/>
      </w:r>
      <w:r w:rsidRPr="00AD6ACA">
        <w:rPr>
          <w:rFonts w:ascii="Arial" w:hAnsi="Arial" w:cs="Arial"/>
        </w:rPr>
        <w:tab/>
      </w:r>
      <w:r w:rsidRPr="00AD6ACA">
        <w:rPr>
          <w:rFonts w:ascii="Arial" w:hAnsi="Arial" w:cs="Arial"/>
        </w:rPr>
        <w:tab/>
      </w:r>
      <w:r w:rsidRPr="00AD6ACA">
        <w:rPr>
          <w:rFonts w:ascii="Arial" w:hAnsi="Arial" w:cs="Arial"/>
        </w:rPr>
        <w:tab/>
      </w:r>
      <w:r w:rsidRPr="00AD6ACA">
        <w:rPr>
          <w:rFonts w:ascii="Arial" w:hAnsi="Arial" w:cs="Arial"/>
        </w:rPr>
        <w:tab/>
        <w:t>místostarostka</w:t>
      </w:r>
    </w:p>
    <w:sectPr w:rsidR="00AD6ACA" w:rsidRPr="00AD6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D5853" w14:textId="77777777" w:rsidR="000C5669" w:rsidRDefault="000C5669" w:rsidP="00230A44">
      <w:pPr>
        <w:spacing w:after="0"/>
      </w:pPr>
      <w:r>
        <w:separator/>
      </w:r>
    </w:p>
  </w:endnote>
  <w:endnote w:type="continuationSeparator" w:id="0">
    <w:p w14:paraId="6BBE3677" w14:textId="77777777" w:rsidR="000C5669" w:rsidRDefault="000C5669" w:rsidP="00230A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2B198" w14:textId="77777777" w:rsidR="000C5669" w:rsidRDefault="000C5669" w:rsidP="00230A44">
      <w:pPr>
        <w:spacing w:after="0"/>
      </w:pPr>
      <w:r>
        <w:separator/>
      </w:r>
    </w:p>
  </w:footnote>
  <w:footnote w:type="continuationSeparator" w:id="0">
    <w:p w14:paraId="17A2C982" w14:textId="77777777" w:rsidR="000C5669" w:rsidRDefault="000C5669" w:rsidP="00230A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44"/>
    <w:rsid w:val="000C5669"/>
    <w:rsid w:val="0014216E"/>
    <w:rsid w:val="00220CAF"/>
    <w:rsid w:val="00230A44"/>
    <w:rsid w:val="002A0743"/>
    <w:rsid w:val="002F540B"/>
    <w:rsid w:val="0034136A"/>
    <w:rsid w:val="00395AE1"/>
    <w:rsid w:val="004229F9"/>
    <w:rsid w:val="005F7367"/>
    <w:rsid w:val="0077144B"/>
    <w:rsid w:val="0087173B"/>
    <w:rsid w:val="008C17E2"/>
    <w:rsid w:val="00943618"/>
    <w:rsid w:val="009B6AF9"/>
    <w:rsid w:val="00A11FDE"/>
    <w:rsid w:val="00A16EB9"/>
    <w:rsid w:val="00AD6ACA"/>
    <w:rsid w:val="00AF1446"/>
    <w:rsid w:val="00BE184B"/>
    <w:rsid w:val="00BF2B41"/>
    <w:rsid w:val="00D21C76"/>
    <w:rsid w:val="00E93649"/>
    <w:rsid w:val="00FD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1E2A"/>
  <w15:chartTrackingRefBased/>
  <w15:docId w15:val="{974183FD-6E0E-4C61-9D5D-D139FE29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A44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0A44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0A4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0A44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30A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30A44"/>
  </w:style>
  <w:style w:type="paragraph" w:styleId="Zhlav">
    <w:name w:val="header"/>
    <w:basedOn w:val="Normln"/>
    <w:link w:val="ZhlavChar"/>
    <w:uiPriority w:val="99"/>
    <w:unhideWhenUsed/>
    <w:rsid w:val="00395AE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95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Valehrach</dc:creator>
  <cp:keywords/>
  <dc:description/>
  <cp:lastModifiedBy>Lázně Toušeň</cp:lastModifiedBy>
  <cp:revision>5</cp:revision>
  <cp:lastPrinted>2024-10-14T13:54:00Z</cp:lastPrinted>
  <dcterms:created xsi:type="dcterms:W3CDTF">2024-10-14T13:33:00Z</dcterms:created>
  <dcterms:modified xsi:type="dcterms:W3CDTF">2024-10-14T14:17:00Z</dcterms:modified>
</cp:coreProperties>
</file>