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FEC5E" w14:textId="77777777" w:rsidR="008F4B3E" w:rsidRPr="003213F0" w:rsidRDefault="008F4B3E" w:rsidP="00EE1BBF">
      <w:pPr>
        <w:pStyle w:val="Zkladntext"/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M Ě S T O</w:t>
      </w:r>
      <w:r w:rsidRPr="003213F0">
        <w:rPr>
          <w:b/>
          <w:bCs/>
          <w:smallCaps/>
          <w:sz w:val="40"/>
          <w:szCs w:val="40"/>
        </w:rPr>
        <w:t xml:space="preserve">     </w:t>
      </w:r>
      <w:r>
        <w:rPr>
          <w:b/>
          <w:bCs/>
          <w:smallCaps/>
          <w:sz w:val="40"/>
          <w:szCs w:val="40"/>
        </w:rPr>
        <w:t xml:space="preserve">B Í L I N A </w:t>
      </w:r>
    </w:p>
    <w:p w14:paraId="78AB9C06" w14:textId="77777777" w:rsidR="008F4B3E" w:rsidRPr="00C33BD5" w:rsidRDefault="008F4B3E" w:rsidP="00EE1BBF">
      <w:pPr>
        <w:pStyle w:val="Zkladntext"/>
        <w:jc w:val="center"/>
        <w:rPr>
          <w:b/>
        </w:rPr>
      </w:pPr>
    </w:p>
    <w:p w14:paraId="6A8D9620" w14:textId="0A0C5969" w:rsidR="008F4B3E" w:rsidRPr="001920CE" w:rsidRDefault="008F4B3E" w:rsidP="00EE1BBF">
      <w:pPr>
        <w:jc w:val="center"/>
        <w:rPr>
          <w:b/>
          <w:sz w:val="32"/>
          <w:szCs w:val="32"/>
        </w:rPr>
      </w:pPr>
      <w:r w:rsidRPr="001920CE">
        <w:rPr>
          <w:b/>
          <w:sz w:val="32"/>
          <w:szCs w:val="32"/>
        </w:rPr>
        <w:t>Obecně závazná vyhláška č</w:t>
      </w:r>
      <w:r w:rsidR="00372AED">
        <w:rPr>
          <w:b/>
          <w:sz w:val="32"/>
          <w:szCs w:val="32"/>
        </w:rPr>
        <w:t xml:space="preserve">. </w:t>
      </w:r>
      <w:r w:rsidR="00313C87" w:rsidRPr="00313C87">
        <w:rPr>
          <w:b/>
          <w:sz w:val="32"/>
          <w:szCs w:val="32"/>
        </w:rPr>
        <w:t>10/2015</w:t>
      </w:r>
    </w:p>
    <w:p w14:paraId="54C544E2" w14:textId="77777777" w:rsidR="008F4B3E" w:rsidRPr="001920CE" w:rsidRDefault="008F4B3E" w:rsidP="00EE1BBF">
      <w:pPr>
        <w:rPr>
          <w:b/>
        </w:rPr>
      </w:pPr>
    </w:p>
    <w:p w14:paraId="2EF06439" w14:textId="77777777" w:rsidR="008F4B3E" w:rsidRPr="001920CE" w:rsidRDefault="008F4B3E" w:rsidP="00EE1BBF">
      <w:pPr>
        <w:jc w:val="center"/>
        <w:rPr>
          <w:sz w:val="28"/>
          <w:szCs w:val="28"/>
        </w:rPr>
      </w:pPr>
      <w:r w:rsidRPr="001920CE">
        <w:rPr>
          <w:b/>
          <w:sz w:val="28"/>
          <w:szCs w:val="28"/>
        </w:rPr>
        <w:t xml:space="preserve">o regulaci provozování </w:t>
      </w:r>
      <w:r>
        <w:rPr>
          <w:b/>
          <w:sz w:val="28"/>
          <w:szCs w:val="28"/>
        </w:rPr>
        <w:t xml:space="preserve">sázkových her, </w:t>
      </w:r>
      <w:r w:rsidRPr="001920CE">
        <w:rPr>
          <w:b/>
          <w:sz w:val="28"/>
          <w:szCs w:val="28"/>
        </w:rPr>
        <w:t xml:space="preserve">loterií a jiných podobných her </w:t>
      </w:r>
    </w:p>
    <w:p w14:paraId="5741BB8B" w14:textId="77777777" w:rsidR="008F4B3E" w:rsidRPr="001920CE" w:rsidRDefault="008F4B3E" w:rsidP="00EE1BBF">
      <w:pPr>
        <w:rPr>
          <w:szCs w:val="24"/>
        </w:rPr>
      </w:pPr>
    </w:p>
    <w:p w14:paraId="0FC49F5D" w14:textId="0960344F" w:rsidR="008F4B3E" w:rsidRPr="00907807" w:rsidRDefault="008F4B3E" w:rsidP="00EE1BBF">
      <w:pPr>
        <w:jc w:val="both"/>
        <w:rPr>
          <w:i/>
          <w:sz w:val="22"/>
          <w:szCs w:val="22"/>
        </w:rPr>
      </w:pPr>
      <w:r w:rsidRPr="00907807">
        <w:rPr>
          <w:i/>
          <w:sz w:val="22"/>
          <w:szCs w:val="22"/>
        </w:rPr>
        <w:t>Zastupitelstvo města Bílina se na svém zasedání dne</w:t>
      </w:r>
      <w:r w:rsidR="00DC1B9C" w:rsidRPr="00907807">
        <w:rPr>
          <w:i/>
          <w:sz w:val="22"/>
          <w:szCs w:val="22"/>
        </w:rPr>
        <w:t xml:space="preserve"> </w:t>
      </w:r>
      <w:r w:rsidR="00371568" w:rsidRPr="00371568">
        <w:rPr>
          <w:i/>
          <w:sz w:val="22"/>
          <w:szCs w:val="22"/>
        </w:rPr>
        <w:t>17. prosince 2015</w:t>
      </w:r>
      <w:r w:rsidR="00DC1B9C" w:rsidRPr="00935E38">
        <w:rPr>
          <w:i/>
          <w:sz w:val="22"/>
          <w:szCs w:val="22"/>
        </w:rPr>
        <w:t xml:space="preserve"> </w:t>
      </w:r>
      <w:r w:rsidR="00F83CB4" w:rsidRPr="00907807">
        <w:rPr>
          <w:i/>
          <w:sz w:val="22"/>
          <w:szCs w:val="22"/>
        </w:rPr>
        <w:t>usnesením č.</w:t>
      </w:r>
      <w:r w:rsidR="00DC1B9C" w:rsidRPr="00907807">
        <w:rPr>
          <w:i/>
          <w:sz w:val="22"/>
          <w:szCs w:val="22"/>
        </w:rPr>
        <w:t xml:space="preserve"> </w:t>
      </w:r>
      <w:r w:rsidR="00313C87" w:rsidRPr="00313C87">
        <w:rPr>
          <w:i/>
          <w:sz w:val="22"/>
          <w:szCs w:val="22"/>
        </w:rPr>
        <w:t>356</w:t>
      </w:r>
      <w:r w:rsidR="00DC1B9C" w:rsidRPr="00935E38">
        <w:rPr>
          <w:i/>
          <w:sz w:val="22"/>
          <w:szCs w:val="22"/>
        </w:rPr>
        <w:t xml:space="preserve"> </w:t>
      </w:r>
      <w:r w:rsidRPr="00907807">
        <w:rPr>
          <w:i/>
          <w:sz w:val="22"/>
          <w:szCs w:val="22"/>
        </w:rPr>
        <w:t xml:space="preserve">usneslo vydat na základě ustanovení § 50 odst. 4 zákona č. 202/1990 Sb., o loteriích a jiných podobných hrách, ve znění pozdějších předpisů (dále jen „zákon o loteriích“), a v souladu s ustanovením § 10 písm. </w:t>
      </w:r>
      <w:r w:rsidR="002D1B89">
        <w:rPr>
          <w:i/>
          <w:sz w:val="22"/>
          <w:szCs w:val="22"/>
        </w:rPr>
        <w:t xml:space="preserve">a) a </w:t>
      </w:r>
      <w:r w:rsidRPr="00907807">
        <w:rPr>
          <w:i/>
          <w:sz w:val="22"/>
          <w:szCs w:val="22"/>
        </w:rPr>
        <w:t>d) a § 84 odst. 2 písm. h) zákona č. 128/2000 Sb., o obcích (obecní zřízení), ve znění pozdějších předpisů</w:t>
      </w:r>
      <w:r w:rsidR="00597638">
        <w:rPr>
          <w:i/>
          <w:sz w:val="22"/>
          <w:szCs w:val="22"/>
        </w:rPr>
        <w:t xml:space="preserve"> (dále jen „zákon o obcích“)</w:t>
      </w:r>
      <w:r w:rsidRPr="00907807">
        <w:rPr>
          <w:i/>
          <w:sz w:val="22"/>
          <w:szCs w:val="22"/>
        </w:rPr>
        <w:t>, tuto obecně závaznou vyhlášku (dále jen „vyhláška“):</w:t>
      </w:r>
    </w:p>
    <w:p w14:paraId="05225A6D" w14:textId="77777777" w:rsidR="00874FF4" w:rsidRDefault="00874FF4" w:rsidP="00EE1BBF">
      <w:pPr>
        <w:jc w:val="both"/>
        <w:rPr>
          <w:i/>
          <w:sz w:val="22"/>
          <w:szCs w:val="22"/>
        </w:rPr>
      </w:pPr>
    </w:p>
    <w:p w14:paraId="11F3BE73" w14:textId="77777777" w:rsidR="00874FF4" w:rsidRDefault="00874FF4" w:rsidP="00874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Preambule</w:t>
      </w:r>
    </w:p>
    <w:p w14:paraId="4EDDF3C1" w14:textId="77777777" w:rsidR="00874FF4" w:rsidRDefault="00874FF4" w:rsidP="00874FF4">
      <w:pPr>
        <w:jc w:val="center"/>
        <w:rPr>
          <w:szCs w:val="24"/>
        </w:rPr>
      </w:pPr>
    </w:p>
    <w:p w14:paraId="36BA89D1" w14:textId="1111096F" w:rsidR="00C146D2" w:rsidRPr="00935E38" w:rsidRDefault="00907807" w:rsidP="004734CC">
      <w:pPr>
        <w:jc w:val="both"/>
        <w:rPr>
          <w:i/>
          <w:szCs w:val="24"/>
        </w:rPr>
      </w:pPr>
      <w:r>
        <w:rPr>
          <w:i/>
          <w:szCs w:val="24"/>
        </w:rPr>
        <w:t xml:space="preserve">(1) </w:t>
      </w:r>
      <w:r w:rsidR="00AF12FF">
        <w:rPr>
          <w:i/>
          <w:szCs w:val="24"/>
        </w:rPr>
        <w:t xml:space="preserve">Město uznává společenskou a zábavní funkci sázkových her, loterií a jiných podobných her (dále jen „loterie“). Město si je však zároveň vědomo negativních jevů spojených s provozováním loterií. Město dále zohledňuje, že úplný zákaz provozování loterií na území města není v současné době možný vzhledem k ekonomické situaci města. Dále si je město vědomo </w:t>
      </w:r>
      <w:r w:rsidR="00AF12FF" w:rsidRPr="00AF12FF">
        <w:rPr>
          <w:i/>
          <w:szCs w:val="24"/>
        </w:rPr>
        <w:t>zkušenost</w:t>
      </w:r>
      <w:r w:rsidR="00AF12FF">
        <w:rPr>
          <w:i/>
          <w:szCs w:val="24"/>
        </w:rPr>
        <w:t>í</w:t>
      </w:r>
      <w:r w:rsidR="00AF12FF" w:rsidRPr="00AF12FF">
        <w:rPr>
          <w:i/>
          <w:szCs w:val="24"/>
        </w:rPr>
        <w:t xml:space="preserve"> z jiných </w:t>
      </w:r>
      <w:r w:rsidR="00AF12FF">
        <w:rPr>
          <w:i/>
          <w:szCs w:val="24"/>
        </w:rPr>
        <w:t xml:space="preserve">měst (např. Praha, Liberec, Kroměříž, Otrokovice), že </w:t>
      </w:r>
      <w:r w:rsidR="00AF12FF" w:rsidRPr="00AF12FF">
        <w:rPr>
          <w:i/>
          <w:szCs w:val="24"/>
        </w:rPr>
        <w:t xml:space="preserve">úplný zákaz </w:t>
      </w:r>
      <w:r w:rsidR="00AF12FF">
        <w:rPr>
          <w:i/>
          <w:szCs w:val="24"/>
        </w:rPr>
        <w:t xml:space="preserve">provozování loterií </w:t>
      </w:r>
      <w:r w:rsidR="00AF12FF" w:rsidRPr="00AF12FF">
        <w:rPr>
          <w:i/>
          <w:szCs w:val="24"/>
        </w:rPr>
        <w:t xml:space="preserve">by představoval reálné riziko vzniku nelegálních </w:t>
      </w:r>
      <w:r w:rsidR="00AF12FF">
        <w:rPr>
          <w:i/>
          <w:szCs w:val="24"/>
        </w:rPr>
        <w:t>provozoven loterií, které představují závažné a nekontrolova</w:t>
      </w:r>
      <w:r w:rsidR="00153871">
        <w:rPr>
          <w:i/>
          <w:szCs w:val="24"/>
        </w:rPr>
        <w:t>tel</w:t>
      </w:r>
      <w:r w:rsidR="00AF12FF">
        <w:rPr>
          <w:i/>
          <w:szCs w:val="24"/>
        </w:rPr>
        <w:t>né riziko</w:t>
      </w:r>
      <w:r w:rsidR="00FD154E">
        <w:rPr>
          <w:i/>
          <w:szCs w:val="24"/>
        </w:rPr>
        <w:t xml:space="preserve"> pro město.</w:t>
      </w:r>
      <w:r w:rsidR="002D1B89">
        <w:rPr>
          <w:i/>
          <w:szCs w:val="24"/>
        </w:rPr>
        <w:t xml:space="preserve"> </w:t>
      </w:r>
      <w:r w:rsidR="00FD154E" w:rsidRPr="00935E38">
        <w:rPr>
          <w:i/>
          <w:szCs w:val="24"/>
        </w:rPr>
        <w:t>Na základě uvedených úvah se město rozhodlo, že provozování loterií na území města umožní</w:t>
      </w:r>
      <w:r w:rsidR="00FD7679" w:rsidRPr="00935E38">
        <w:rPr>
          <w:i/>
          <w:szCs w:val="24"/>
        </w:rPr>
        <w:t>,</w:t>
      </w:r>
      <w:r w:rsidR="00FD154E" w:rsidRPr="00935E38">
        <w:rPr>
          <w:i/>
          <w:szCs w:val="24"/>
        </w:rPr>
        <w:t xml:space="preserve"> ale pouze v omezené míře. </w:t>
      </w:r>
    </w:p>
    <w:p w14:paraId="2D45DC63" w14:textId="77777777" w:rsidR="00C146D2" w:rsidRDefault="00C146D2" w:rsidP="00864E7D">
      <w:pPr>
        <w:jc w:val="both"/>
        <w:rPr>
          <w:i/>
          <w:sz w:val="22"/>
          <w:szCs w:val="22"/>
        </w:rPr>
      </w:pPr>
    </w:p>
    <w:p w14:paraId="6C24840D" w14:textId="55A3A045" w:rsidR="00BF663A" w:rsidRPr="00935E38" w:rsidRDefault="00C146D2" w:rsidP="00864E7D">
      <w:pPr>
        <w:jc w:val="both"/>
        <w:rPr>
          <w:i/>
          <w:szCs w:val="24"/>
        </w:rPr>
      </w:pPr>
      <w:r w:rsidRPr="00935E38">
        <w:rPr>
          <w:i/>
          <w:szCs w:val="24"/>
        </w:rPr>
        <w:t>(</w:t>
      </w:r>
      <w:r w:rsidR="002D1B89">
        <w:rPr>
          <w:i/>
          <w:szCs w:val="24"/>
        </w:rPr>
        <w:t>2</w:t>
      </w:r>
      <w:r w:rsidRPr="00935E38">
        <w:rPr>
          <w:i/>
          <w:szCs w:val="24"/>
        </w:rPr>
        <w:t xml:space="preserve">) </w:t>
      </w:r>
      <w:r w:rsidR="006A4BE1" w:rsidRPr="00935E38">
        <w:rPr>
          <w:i/>
          <w:szCs w:val="24"/>
        </w:rPr>
        <w:t xml:space="preserve">Město si je plně vědomo, že zvolený způsob regulace provozování loterií na území města musí být založen na obecných nediskriminačních zásadách a </w:t>
      </w:r>
      <w:r w:rsidR="00BF663A" w:rsidRPr="00935E38">
        <w:rPr>
          <w:i/>
          <w:szCs w:val="24"/>
        </w:rPr>
        <w:t xml:space="preserve">musí </w:t>
      </w:r>
      <w:r w:rsidR="006A4BE1" w:rsidRPr="00935E38">
        <w:rPr>
          <w:i/>
          <w:szCs w:val="24"/>
        </w:rPr>
        <w:t xml:space="preserve">být </w:t>
      </w:r>
      <w:r w:rsidR="00BF663A" w:rsidRPr="00935E38">
        <w:rPr>
          <w:i/>
          <w:szCs w:val="24"/>
        </w:rPr>
        <w:t xml:space="preserve">rovněž </w:t>
      </w:r>
      <w:r w:rsidR="006A4BE1" w:rsidRPr="00935E38">
        <w:rPr>
          <w:i/>
          <w:szCs w:val="24"/>
        </w:rPr>
        <w:t xml:space="preserve">v souladu se zásadami hospodářské soutěže, jak byly formulovány </w:t>
      </w:r>
      <w:r w:rsidR="00CD68CF" w:rsidRPr="00935E38">
        <w:rPr>
          <w:i/>
          <w:szCs w:val="24"/>
        </w:rPr>
        <w:t xml:space="preserve">ve stanovisku Úřadu pro ochranu hospodářské soutěže </w:t>
      </w:r>
      <w:r w:rsidR="00DF1432">
        <w:rPr>
          <w:i/>
          <w:szCs w:val="24"/>
        </w:rPr>
        <w:t xml:space="preserve">(dále jen „ÚOHS“) </w:t>
      </w:r>
      <w:r w:rsidR="00CD68CF" w:rsidRPr="00935E38">
        <w:rPr>
          <w:i/>
          <w:szCs w:val="24"/>
        </w:rPr>
        <w:t xml:space="preserve">k regulaci provozu loterií a jiných podobných her ze dne </w:t>
      </w:r>
      <w:proofErr w:type="gramStart"/>
      <w:r w:rsidR="00CD68CF" w:rsidRPr="00935E38">
        <w:rPr>
          <w:i/>
          <w:szCs w:val="24"/>
        </w:rPr>
        <w:t>01.09.2014</w:t>
      </w:r>
      <w:proofErr w:type="gramEnd"/>
      <w:r w:rsidR="00CD68CF" w:rsidRPr="00935E38">
        <w:rPr>
          <w:i/>
          <w:szCs w:val="24"/>
        </w:rPr>
        <w:t xml:space="preserve"> a v právním výkladu Ministerstva vnitra ČR k obecně závazným vyhláškám regulujícím provozování některých sázkových her, loterií a jiných podobných her na území obce ze dne</w:t>
      </w:r>
      <w:r w:rsidR="00494222">
        <w:rPr>
          <w:szCs w:val="24"/>
        </w:rPr>
        <w:t xml:space="preserve"> </w:t>
      </w:r>
      <w:r w:rsidR="00494222" w:rsidRPr="00494222">
        <w:rPr>
          <w:i/>
          <w:szCs w:val="24"/>
        </w:rPr>
        <w:t>21.04.2015</w:t>
      </w:r>
      <w:r w:rsidR="00CD68CF" w:rsidRPr="00935E38">
        <w:rPr>
          <w:i/>
          <w:szCs w:val="24"/>
        </w:rPr>
        <w:t xml:space="preserve">. Dále jsou </w:t>
      </w:r>
      <w:r w:rsidR="00DF1432">
        <w:rPr>
          <w:i/>
          <w:szCs w:val="24"/>
        </w:rPr>
        <w:t xml:space="preserve">proto </w:t>
      </w:r>
      <w:r w:rsidR="00CD68CF" w:rsidRPr="00935E38">
        <w:rPr>
          <w:i/>
          <w:szCs w:val="24"/>
        </w:rPr>
        <w:t>vysvětlen</w:t>
      </w:r>
      <w:r w:rsidR="00BF663A" w:rsidRPr="00935E38">
        <w:rPr>
          <w:i/>
          <w:szCs w:val="24"/>
        </w:rPr>
        <w:t xml:space="preserve">a pravidla, na základě nichž je založena regulace obsažená ve vyhlášce. Město je přitom přesvědčeno, že zvolená podoba regulace naplňuje princip proporcionality, tedy </w:t>
      </w:r>
      <w:r w:rsidR="00FD7679" w:rsidRPr="00935E38">
        <w:rPr>
          <w:i/>
          <w:szCs w:val="24"/>
        </w:rPr>
        <w:t xml:space="preserve">že </w:t>
      </w:r>
      <w:r w:rsidR="00BF663A" w:rsidRPr="00935E38">
        <w:rPr>
          <w:i/>
          <w:szCs w:val="24"/>
        </w:rPr>
        <w:t>zvolená míra regulace je přiměřená konkrétním místním podmínkám, nepůsobí diskriminačně a tedy ani nenarušuje hospodářskou soutěž více, než je nezbytné k dosažení cíle vyhlášky.</w:t>
      </w:r>
    </w:p>
    <w:p w14:paraId="4FEAC881" w14:textId="77777777" w:rsidR="00BF663A" w:rsidRDefault="00BF663A" w:rsidP="00864E7D">
      <w:pPr>
        <w:jc w:val="both"/>
        <w:rPr>
          <w:i/>
          <w:szCs w:val="24"/>
        </w:rPr>
      </w:pPr>
    </w:p>
    <w:p w14:paraId="7D1AD859" w14:textId="014852B5" w:rsidR="008861F3" w:rsidRPr="00935E38" w:rsidRDefault="00BF663A" w:rsidP="00864E7D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2D1B89">
        <w:rPr>
          <w:i/>
          <w:szCs w:val="24"/>
        </w:rPr>
        <w:t>3</w:t>
      </w:r>
      <w:r>
        <w:rPr>
          <w:i/>
          <w:szCs w:val="24"/>
        </w:rPr>
        <w:t xml:space="preserve">) </w:t>
      </w:r>
      <w:r w:rsidR="008861F3">
        <w:rPr>
          <w:i/>
          <w:szCs w:val="24"/>
        </w:rPr>
        <w:t xml:space="preserve">Vyhláška předně vychází z předpokladu, že stanovením adresných míst, </w:t>
      </w:r>
      <w:r w:rsidR="008861F3">
        <w:rPr>
          <w:i/>
          <w:sz w:val="22"/>
          <w:szCs w:val="22"/>
        </w:rPr>
        <w:t xml:space="preserve">v nichž mohou být </w:t>
      </w:r>
      <w:r w:rsidR="008861F3" w:rsidRPr="00935E38">
        <w:rPr>
          <w:i/>
          <w:szCs w:val="24"/>
        </w:rPr>
        <w:t>provozovny loterií umístěny, nemůže dojít k narušení hospodářské soutěže při provozování loterií. Provozovatelé provozoven, v nichž mohou být loterie umístěny, jsou odlišní od vlastních provozovatelů loterií. Vyhláška přitom nestanoví, kteří konkrétní provozovatelé loterií mohou na území města loterie</w:t>
      </w:r>
      <w:r w:rsidR="00FD7679" w:rsidRPr="00935E38">
        <w:rPr>
          <w:i/>
          <w:szCs w:val="24"/>
        </w:rPr>
        <w:t xml:space="preserve"> provozovat</w:t>
      </w:r>
      <w:r w:rsidR="008861F3" w:rsidRPr="00935E38">
        <w:rPr>
          <w:i/>
          <w:szCs w:val="24"/>
        </w:rPr>
        <w:t>. Vyhláška je tak ve vztahu k provozovatelům loterií neutrální a nediskriminační. Jednotliví provozovatelé loterií mají i nadále možnost soutěžit o umístění a provozování svých loterií na adresných místech povolených vyhláškou. Tím dochází k zachování konkurenční</w:t>
      </w:r>
      <w:r w:rsidR="00DF1432">
        <w:rPr>
          <w:i/>
          <w:szCs w:val="24"/>
        </w:rPr>
        <w:t>ho</w:t>
      </w:r>
      <w:r w:rsidR="008861F3" w:rsidRPr="00935E38">
        <w:rPr>
          <w:i/>
          <w:szCs w:val="24"/>
        </w:rPr>
        <w:t xml:space="preserve"> prostředí umožňujícího </w:t>
      </w:r>
      <w:r w:rsidR="00D77AF3" w:rsidRPr="00935E38">
        <w:rPr>
          <w:i/>
          <w:szCs w:val="24"/>
        </w:rPr>
        <w:t xml:space="preserve">též </w:t>
      </w:r>
      <w:r w:rsidR="008861F3" w:rsidRPr="00935E38">
        <w:rPr>
          <w:i/>
          <w:szCs w:val="24"/>
        </w:rPr>
        <w:t>vstup nový</w:t>
      </w:r>
      <w:r w:rsidR="00D77AF3" w:rsidRPr="00935E38">
        <w:rPr>
          <w:i/>
          <w:szCs w:val="24"/>
        </w:rPr>
        <w:t>ch</w:t>
      </w:r>
      <w:r w:rsidR="008861F3" w:rsidRPr="00935E38">
        <w:rPr>
          <w:i/>
          <w:szCs w:val="24"/>
        </w:rPr>
        <w:t xml:space="preserve"> soutěžitelů. Tento postup je </w:t>
      </w:r>
      <w:r w:rsidR="00D77AF3" w:rsidRPr="00935E38">
        <w:rPr>
          <w:i/>
          <w:szCs w:val="24"/>
        </w:rPr>
        <w:t xml:space="preserve">jednak plně v souladu se závěry Ústavního soudu ČR ve věcech </w:t>
      </w:r>
      <w:proofErr w:type="spellStart"/>
      <w:r w:rsidR="00D77AF3" w:rsidRPr="00935E38">
        <w:rPr>
          <w:i/>
          <w:szCs w:val="24"/>
        </w:rPr>
        <w:t>Pl</w:t>
      </w:r>
      <w:proofErr w:type="spellEnd"/>
      <w:r w:rsidR="00D77AF3" w:rsidRPr="00935E38">
        <w:rPr>
          <w:i/>
          <w:szCs w:val="24"/>
        </w:rPr>
        <w:t xml:space="preserve">. ÚS 22/11 (město Kladno) a </w:t>
      </w:r>
      <w:proofErr w:type="spellStart"/>
      <w:r w:rsidR="00D77AF3" w:rsidRPr="00935E38">
        <w:rPr>
          <w:i/>
          <w:szCs w:val="24"/>
        </w:rPr>
        <w:t>Pl</w:t>
      </w:r>
      <w:proofErr w:type="spellEnd"/>
      <w:r w:rsidR="00D77AF3" w:rsidRPr="00935E38">
        <w:rPr>
          <w:i/>
          <w:szCs w:val="24"/>
        </w:rPr>
        <w:t xml:space="preserve">. ÚS 56/10 (město Františkovy Lázně). Dále je </w:t>
      </w:r>
      <w:r w:rsidR="008861F3" w:rsidRPr="00935E38">
        <w:rPr>
          <w:i/>
          <w:szCs w:val="24"/>
        </w:rPr>
        <w:t>plně v souladu s právním výkladem Ministerstva vnitra ČR</w:t>
      </w:r>
      <w:r w:rsidR="00D77AF3" w:rsidRPr="00935E38">
        <w:rPr>
          <w:i/>
          <w:szCs w:val="24"/>
        </w:rPr>
        <w:t xml:space="preserve"> ze dne </w:t>
      </w:r>
      <w:r w:rsidR="00494222" w:rsidRPr="00494222">
        <w:rPr>
          <w:i/>
          <w:szCs w:val="24"/>
        </w:rPr>
        <w:t>21.</w:t>
      </w:r>
      <w:r w:rsidR="00371568">
        <w:rPr>
          <w:i/>
          <w:szCs w:val="24"/>
        </w:rPr>
        <w:t xml:space="preserve"> </w:t>
      </w:r>
      <w:r w:rsidR="00494222" w:rsidRPr="00494222">
        <w:rPr>
          <w:i/>
          <w:szCs w:val="24"/>
        </w:rPr>
        <w:t>04.</w:t>
      </w:r>
      <w:r w:rsidR="00371568">
        <w:rPr>
          <w:i/>
          <w:szCs w:val="24"/>
        </w:rPr>
        <w:t xml:space="preserve"> </w:t>
      </w:r>
      <w:r w:rsidR="00494222" w:rsidRPr="00494222">
        <w:rPr>
          <w:i/>
          <w:szCs w:val="24"/>
        </w:rPr>
        <w:t>2015</w:t>
      </w:r>
      <w:r w:rsidR="008861F3" w:rsidRPr="00935E38">
        <w:rPr>
          <w:i/>
          <w:szCs w:val="24"/>
        </w:rPr>
        <w:t>, v němž bylo doporučeno, aby nebyl regulován počet technických zařízení na jednu provozovnu</w:t>
      </w:r>
      <w:r w:rsidR="00D77AF3" w:rsidRPr="00935E38">
        <w:rPr>
          <w:i/>
          <w:szCs w:val="24"/>
        </w:rPr>
        <w:t>,</w:t>
      </w:r>
      <w:r w:rsidR="008861F3" w:rsidRPr="00935E38">
        <w:rPr>
          <w:i/>
          <w:szCs w:val="24"/>
        </w:rPr>
        <w:t xml:space="preserve"> </w:t>
      </w:r>
      <w:r w:rsidR="00FD7679" w:rsidRPr="00935E38">
        <w:rPr>
          <w:i/>
          <w:szCs w:val="24"/>
        </w:rPr>
        <w:t xml:space="preserve">stejně jako </w:t>
      </w:r>
      <w:r w:rsidR="008861F3" w:rsidRPr="00935E38">
        <w:rPr>
          <w:i/>
          <w:szCs w:val="24"/>
        </w:rPr>
        <w:t>se stanoviskem Ú</w:t>
      </w:r>
      <w:r w:rsidR="00DF1432">
        <w:rPr>
          <w:i/>
          <w:szCs w:val="24"/>
        </w:rPr>
        <w:t>OHS</w:t>
      </w:r>
      <w:r w:rsidR="00D77AF3" w:rsidRPr="00935E38">
        <w:rPr>
          <w:i/>
          <w:szCs w:val="24"/>
        </w:rPr>
        <w:t xml:space="preserve"> ze dne 01.</w:t>
      </w:r>
      <w:r w:rsidR="00371568">
        <w:rPr>
          <w:i/>
          <w:szCs w:val="24"/>
        </w:rPr>
        <w:t xml:space="preserve"> </w:t>
      </w:r>
      <w:r w:rsidR="00D77AF3" w:rsidRPr="00935E38">
        <w:rPr>
          <w:i/>
          <w:szCs w:val="24"/>
        </w:rPr>
        <w:t>09.</w:t>
      </w:r>
      <w:r w:rsidR="00371568">
        <w:rPr>
          <w:i/>
          <w:szCs w:val="24"/>
        </w:rPr>
        <w:t xml:space="preserve"> </w:t>
      </w:r>
      <w:r w:rsidR="00D77AF3" w:rsidRPr="00935E38">
        <w:rPr>
          <w:i/>
          <w:szCs w:val="24"/>
        </w:rPr>
        <w:t>2014</w:t>
      </w:r>
      <w:r w:rsidR="008861F3" w:rsidRPr="00935E38">
        <w:rPr>
          <w:i/>
          <w:szCs w:val="24"/>
        </w:rPr>
        <w:t xml:space="preserve">, které požaduje nediskriminaci stávajících soutěžitelů, kteří na trhu již působí, </w:t>
      </w:r>
      <w:r w:rsidR="00FD7679" w:rsidRPr="00935E38">
        <w:rPr>
          <w:i/>
          <w:szCs w:val="24"/>
        </w:rPr>
        <w:t>jakož i</w:t>
      </w:r>
      <w:r w:rsidR="008861F3" w:rsidRPr="00935E38">
        <w:rPr>
          <w:i/>
          <w:szCs w:val="24"/>
        </w:rPr>
        <w:t xml:space="preserve"> těch, kteří by na něj zamýšleli vstoupit.</w:t>
      </w:r>
    </w:p>
    <w:p w14:paraId="09EAC639" w14:textId="77777777" w:rsidR="008861F3" w:rsidRPr="00935E38" w:rsidRDefault="008861F3" w:rsidP="00864E7D">
      <w:pPr>
        <w:jc w:val="both"/>
        <w:rPr>
          <w:i/>
          <w:szCs w:val="24"/>
        </w:rPr>
      </w:pPr>
    </w:p>
    <w:p w14:paraId="0EC31DCD" w14:textId="4E99A2D9" w:rsidR="003266E5" w:rsidRDefault="00D537D0" w:rsidP="00864E7D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2D1B89">
        <w:rPr>
          <w:i/>
          <w:szCs w:val="24"/>
        </w:rPr>
        <w:t>4</w:t>
      </w:r>
      <w:r>
        <w:rPr>
          <w:i/>
          <w:szCs w:val="24"/>
        </w:rPr>
        <w:t xml:space="preserve">) Pokud jde o počet adresných míst, v nichž mohou být provozovny loterií umístěny, </w:t>
      </w:r>
      <w:r w:rsidR="003266E5">
        <w:rPr>
          <w:i/>
          <w:szCs w:val="24"/>
        </w:rPr>
        <w:t>byl stanoven na čtyři provozovny</w:t>
      </w:r>
      <w:r w:rsidR="00FD7679">
        <w:rPr>
          <w:i/>
          <w:szCs w:val="24"/>
        </w:rPr>
        <w:t>. D</w:t>
      </w:r>
      <w:r>
        <w:rPr>
          <w:i/>
          <w:szCs w:val="24"/>
        </w:rPr>
        <w:t xml:space="preserve">le přesvědčení města </w:t>
      </w:r>
      <w:r w:rsidR="00FD7679">
        <w:rPr>
          <w:i/>
          <w:szCs w:val="24"/>
        </w:rPr>
        <w:t xml:space="preserve">jde </w:t>
      </w:r>
      <w:r>
        <w:rPr>
          <w:i/>
          <w:szCs w:val="24"/>
        </w:rPr>
        <w:t xml:space="preserve">o maximální možný počet, který je pro město, s ohledem na veřejný pořádek, </w:t>
      </w:r>
      <w:r w:rsidRPr="003266E5">
        <w:rPr>
          <w:i/>
          <w:szCs w:val="24"/>
        </w:rPr>
        <w:t>dobré mravy a možné negativní sociální dopady</w:t>
      </w:r>
      <w:r w:rsidR="003266E5">
        <w:rPr>
          <w:i/>
          <w:szCs w:val="24"/>
        </w:rPr>
        <w:t xml:space="preserve"> provozování loterií na území města</w:t>
      </w:r>
      <w:r w:rsidR="003266E5" w:rsidRPr="003266E5">
        <w:rPr>
          <w:i/>
          <w:szCs w:val="24"/>
        </w:rPr>
        <w:t xml:space="preserve">, </w:t>
      </w:r>
      <w:r>
        <w:rPr>
          <w:i/>
          <w:szCs w:val="24"/>
        </w:rPr>
        <w:t xml:space="preserve">udržitelný. </w:t>
      </w:r>
      <w:r w:rsidR="003266E5">
        <w:rPr>
          <w:i/>
          <w:szCs w:val="24"/>
        </w:rPr>
        <w:t>Město v této souvislosti</w:t>
      </w:r>
      <w:r w:rsidR="00FD7679">
        <w:rPr>
          <w:i/>
          <w:szCs w:val="24"/>
        </w:rPr>
        <w:t xml:space="preserve"> zohlednilo</w:t>
      </w:r>
      <w:r w:rsidR="003266E5">
        <w:rPr>
          <w:i/>
          <w:szCs w:val="24"/>
        </w:rPr>
        <w:t xml:space="preserve"> </w:t>
      </w:r>
      <w:r w:rsidR="00DF1432">
        <w:rPr>
          <w:i/>
          <w:szCs w:val="24"/>
        </w:rPr>
        <w:t xml:space="preserve">vlastní předchozí zkušenosti z regulace loterií, </w:t>
      </w:r>
      <w:r>
        <w:rPr>
          <w:i/>
          <w:szCs w:val="24"/>
        </w:rPr>
        <w:t xml:space="preserve">zkušenosti z jiných měst s obdobnou velikostí, sociálním složením obyvatelstva, jakož i obdobnými sociálními problémy a </w:t>
      </w:r>
      <w:r w:rsidR="003266E5">
        <w:rPr>
          <w:i/>
          <w:szCs w:val="24"/>
        </w:rPr>
        <w:t xml:space="preserve">mírou </w:t>
      </w:r>
      <w:r>
        <w:rPr>
          <w:i/>
          <w:szCs w:val="24"/>
        </w:rPr>
        <w:t>kriminalit</w:t>
      </w:r>
      <w:r w:rsidR="003266E5">
        <w:rPr>
          <w:i/>
          <w:szCs w:val="24"/>
        </w:rPr>
        <w:t>y</w:t>
      </w:r>
      <w:r>
        <w:rPr>
          <w:i/>
          <w:szCs w:val="24"/>
        </w:rPr>
        <w:t xml:space="preserve">. Dále město vycházelo z oficiálních diskuzí k právní úpravě regulace loterií, v nichž se </w:t>
      </w:r>
      <w:r w:rsidR="003266E5">
        <w:rPr>
          <w:i/>
          <w:szCs w:val="24"/>
        </w:rPr>
        <w:t xml:space="preserve">v minulosti </w:t>
      </w:r>
      <w:r>
        <w:rPr>
          <w:i/>
          <w:szCs w:val="24"/>
        </w:rPr>
        <w:t xml:space="preserve">uvažovalo o omezení počtu </w:t>
      </w:r>
      <w:r w:rsidR="00DF1432">
        <w:rPr>
          <w:i/>
          <w:szCs w:val="24"/>
        </w:rPr>
        <w:t>provozoven loterií</w:t>
      </w:r>
      <w:r>
        <w:rPr>
          <w:i/>
          <w:szCs w:val="24"/>
        </w:rPr>
        <w:t xml:space="preserve"> dle počtu obyvatelstva. Tento názor se objevil i v prvním návrhu zákona o hazardních hrách (§</w:t>
      </w:r>
      <w:r w:rsidR="003266E5">
        <w:rPr>
          <w:i/>
          <w:szCs w:val="24"/>
        </w:rPr>
        <w:t xml:space="preserve"> </w:t>
      </w:r>
      <w:r>
        <w:rPr>
          <w:i/>
          <w:szCs w:val="24"/>
        </w:rPr>
        <w:t xml:space="preserve">57), který povoloval jednu </w:t>
      </w:r>
      <w:r w:rsidR="00DF1432">
        <w:rPr>
          <w:i/>
          <w:szCs w:val="24"/>
        </w:rPr>
        <w:t>provozovnu loterií</w:t>
      </w:r>
      <w:r>
        <w:rPr>
          <w:i/>
          <w:szCs w:val="24"/>
        </w:rPr>
        <w:t xml:space="preserve"> na každých 5.000 obyvatel</w:t>
      </w:r>
      <w:r w:rsidR="003266E5">
        <w:rPr>
          <w:i/>
          <w:szCs w:val="24"/>
        </w:rPr>
        <w:t xml:space="preserve"> obce</w:t>
      </w:r>
      <w:r>
        <w:rPr>
          <w:i/>
          <w:szCs w:val="24"/>
        </w:rPr>
        <w:t xml:space="preserve">. Město se rozhodlo, s přihlédnutím k současné situaci a místním poměrům ve městě, pro povolení jedné </w:t>
      </w:r>
      <w:r w:rsidR="003266E5">
        <w:rPr>
          <w:i/>
          <w:szCs w:val="24"/>
        </w:rPr>
        <w:t>provozovn</w:t>
      </w:r>
      <w:r>
        <w:rPr>
          <w:i/>
          <w:szCs w:val="24"/>
        </w:rPr>
        <w:t>y</w:t>
      </w:r>
      <w:r w:rsidR="003266E5">
        <w:rPr>
          <w:i/>
          <w:szCs w:val="24"/>
        </w:rPr>
        <w:t xml:space="preserve"> loterií</w:t>
      </w:r>
      <w:r>
        <w:rPr>
          <w:i/>
          <w:szCs w:val="24"/>
        </w:rPr>
        <w:t xml:space="preserve"> na každých 4.000 obyvatel</w:t>
      </w:r>
      <w:r w:rsidR="003266E5">
        <w:rPr>
          <w:i/>
          <w:szCs w:val="24"/>
        </w:rPr>
        <w:t>.</w:t>
      </w:r>
    </w:p>
    <w:p w14:paraId="6E5AF193" w14:textId="77777777" w:rsidR="003266E5" w:rsidRDefault="003266E5" w:rsidP="00864E7D">
      <w:pPr>
        <w:jc w:val="both"/>
        <w:rPr>
          <w:i/>
          <w:szCs w:val="24"/>
        </w:rPr>
      </w:pPr>
    </w:p>
    <w:p w14:paraId="31F285C5" w14:textId="77094867" w:rsidR="00EE5A5B" w:rsidRDefault="003266E5" w:rsidP="00864E7D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2D1B89">
        <w:rPr>
          <w:i/>
          <w:szCs w:val="24"/>
        </w:rPr>
        <w:t>5</w:t>
      </w:r>
      <w:r>
        <w:rPr>
          <w:i/>
          <w:szCs w:val="24"/>
        </w:rPr>
        <w:t>)</w:t>
      </w:r>
      <w:r w:rsidR="00152300">
        <w:rPr>
          <w:i/>
          <w:szCs w:val="24"/>
        </w:rPr>
        <w:t xml:space="preserve"> </w:t>
      </w:r>
      <w:r w:rsidR="00EE5A5B">
        <w:rPr>
          <w:i/>
          <w:szCs w:val="24"/>
        </w:rPr>
        <w:t>Při u</w:t>
      </w:r>
      <w:r w:rsidR="00DF1432">
        <w:rPr>
          <w:i/>
          <w:szCs w:val="24"/>
        </w:rPr>
        <w:t>rčení</w:t>
      </w:r>
      <w:r w:rsidR="00CE3F51">
        <w:rPr>
          <w:i/>
          <w:szCs w:val="24"/>
        </w:rPr>
        <w:t xml:space="preserve">, v kterých částech města se mají </w:t>
      </w:r>
      <w:r w:rsidR="00EE5A5B">
        <w:rPr>
          <w:i/>
          <w:szCs w:val="24"/>
        </w:rPr>
        <w:t>konkrétní adresn</w:t>
      </w:r>
      <w:r w:rsidR="00CE3F51">
        <w:rPr>
          <w:i/>
          <w:szCs w:val="24"/>
        </w:rPr>
        <w:t>á</w:t>
      </w:r>
      <w:r w:rsidR="00EE5A5B">
        <w:rPr>
          <w:i/>
          <w:szCs w:val="24"/>
        </w:rPr>
        <w:t xml:space="preserve"> míst</w:t>
      </w:r>
      <w:r w:rsidR="00CE3F51">
        <w:rPr>
          <w:i/>
          <w:szCs w:val="24"/>
        </w:rPr>
        <w:t>a</w:t>
      </w:r>
      <w:r w:rsidR="00EE5A5B">
        <w:rPr>
          <w:i/>
          <w:szCs w:val="24"/>
        </w:rPr>
        <w:t xml:space="preserve">, v nichž mohou být provozovny loterií umístěny, </w:t>
      </w:r>
      <w:r w:rsidR="00CE3F51">
        <w:rPr>
          <w:i/>
          <w:szCs w:val="24"/>
        </w:rPr>
        <w:t xml:space="preserve">nacházet, </w:t>
      </w:r>
      <w:r w:rsidR="00EE5A5B">
        <w:rPr>
          <w:i/>
          <w:szCs w:val="24"/>
        </w:rPr>
        <w:t>se pak město řídilo následujícími kritérii:</w:t>
      </w:r>
    </w:p>
    <w:p w14:paraId="4002A9AA" w14:textId="77777777" w:rsidR="00EE5A5B" w:rsidRDefault="00EE5A5B" w:rsidP="00864E7D">
      <w:pPr>
        <w:jc w:val="both"/>
        <w:rPr>
          <w:i/>
          <w:szCs w:val="24"/>
        </w:rPr>
      </w:pPr>
    </w:p>
    <w:p w14:paraId="4133A318" w14:textId="77777777" w:rsidR="00EE5A5B" w:rsidRDefault="00EE5A5B" w:rsidP="00597638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>
        <w:rPr>
          <w:i/>
          <w:szCs w:val="24"/>
        </w:rPr>
        <w:t xml:space="preserve">Provozovny </w:t>
      </w:r>
      <w:r w:rsidR="00C70F89">
        <w:rPr>
          <w:i/>
          <w:szCs w:val="24"/>
        </w:rPr>
        <w:t xml:space="preserve">loterií </w:t>
      </w:r>
      <w:r>
        <w:rPr>
          <w:i/>
          <w:szCs w:val="24"/>
        </w:rPr>
        <w:t>by se neměly nacházet v částech města s vysokou mírou kriminalit</w:t>
      </w:r>
      <w:r w:rsidR="00C70F89">
        <w:rPr>
          <w:i/>
          <w:szCs w:val="24"/>
        </w:rPr>
        <w:t>y</w:t>
      </w:r>
      <w:r>
        <w:rPr>
          <w:i/>
          <w:szCs w:val="24"/>
        </w:rPr>
        <w:t xml:space="preserve">, sociálně vyloučených oblastech a </w:t>
      </w:r>
      <w:r w:rsidR="00DF1432">
        <w:rPr>
          <w:i/>
          <w:szCs w:val="24"/>
        </w:rPr>
        <w:t xml:space="preserve">v </w:t>
      </w:r>
      <w:r>
        <w:rPr>
          <w:i/>
          <w:szCs w:val="24"/>
        </w:rPr>
        <w:t>oblastech, v nichž byly v minulosti časté stížnosti na problémy způsobené provozováním loterií (např.</w:t>
      </w:r>
      <w:r w:rsidR="004D6A91">
        <w:rPr>
          <w:i/>
          <w:szCs w:val="24"/>
        </w:rPr>
        <w:t xml:space="preserve"> </w:t>
      </w:r>
      <w:r w:rsidR="004D6A91" w:rsidRPr="009C59A4">
        <w:rPr>
          <w:i/>
          <w:szCs w:val="24"/>
        </w:rPr>
        <w:t>panelové</w:t>
      </w:r>
      <w:r w:rsidRPr="009C59A4">
        <w:rPr>
          <w:i/>
          <w:szCs w:val="24"/>
        </w:rPr>
        <w:t xml:space="preserve"> </w:t>
      </w:r>
      <w:r w:rsidR="00664BC9" w:rsidRPr="009C59A4">
        <w:rPr>
          <w:i/>
          <w:szCs w:val="24"/>
        </w:rPr>
        <w:t>sídliště</w:t>
      </w:r>
      <w:r w:rsidR="004D6A91" w:rsidRPr="009C59A4">
        <w:rPr>
          <w:i/>
          <w:szCs w:val="24"/>
        </w:rPr>
        <w:t xml:space="preserve"> na</w:t>
      </w:r>
      <w:r w:rsidR="00664BC9" w:rsidRPr="009C59A4">
        <w:rPr>
          <w:i/>
          <w:szCs w:val="24"/>
        </w:rPr>
        <w:t xml:space="preserve"> </w:t>
      </w:r>
      <w:r w:rsidR="00371568" w:rsidRPr="009C59A4">
        <w:rPr>
          <w:i/>
          <w:szCs w:val="24"/>
        </w:rPr>
        <w:t>Teplické</w:t>
      </w:r>
      <w:r w:rsidR="004D6A91" w:rsidRPr="009C59A4">
        <w:rPr>
          <w:i/>
          <w:szCs w:val="24"/>
        </w:rPr>
        <w:t>m</w:t>
      </w:r>
      <w:r w:rsidR="00371568" w:rsidRPr="009C59A4">
        <w:rPr>
          <w:i/>
          <w:szCs w:val="24"/>
        </w:rPr>
        <w:t xml:space="preserve"> předměstí</w:t>
      </w:r>
      <w:r w:rsidRPr="00380C75">
        <w:rPr>
          <w:i/>
          <w:szCs w:val="24"/>
        </w:rPr>
        <w:t>).</w:t>
      </w:r>
    </w:p>
    <w:p w14:paraId="75049C5E" w14:textId="77777777" w:rsidR="00C70F89" w:rsidRDefault="00EE5A5B" w:rsidP="00C70F89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>
        <w:rPr>
          <w:i/>
          <w:szCs w:val="24"/>
        </w:rPr>
        <w:t xml:space="preserve">Provozovny </w:t>
      </w:r>
      <w:r w:rsidR="00C70F89">
        <w:rPr>
          <w:i/>
          <w:szCs w:val="24"/>
        </w:rPr>
        <w:t xml:space="preserve">loterií </w:t>
      </w:r>
      <w:r>
        <w:rPr>
          <w:i/>
          <w:szCs w:val="24"/>
        </w:rPr>
        <w:t>by se neměly nacházet ani v těch částech města, v nichž to bude v rozporu s jejich charakterem</w:t>
      </w:r>
      <w:r w:rsidR="00C70F89" w:rsidRPr="00C70F89">
        <w:rPr>
          <w:i/>
          <w:szCs w:val="24"/>
        </w:rPr>
        <w:t>,</w:t>
      </w:r>
      <w:r w:rsidRPr="00C70F89">
        <w:rPr>
          <w:i/>
          <w:szCs w:val="24"/>
        </w:rPr>
        <w:t xml:space="preserve"> např. </w:t>
      </w:r>
      <w:r w:rsidR="00C70F89" w:rsidRPr="00C70F89">
        <w:rPr>
          <w:i/>
          <w:szCs w:val="24"/>
        </w:rPr>
        <w:t>v</w:t>
      </w:r>
      <w:r w:rsidRPr="00C70F89">
        <w:rPr>
          <w:i/>
          <w:szCs w:val="24"/>
        </w:rPr>
        <w:t xml:space="preserve"> klidn</w:t>
      </w:r>
      <w:r w:rsidR="00C70F89" w:rsidRPr="00C70F89">
        <w:rPr>
          <w:i/>
          <w:szCs w:val="24"/>
        </w:rPr>
        <w:t>ých</w:t>
      </w:r>
      <w:r w:rsidRPr="00C70F89">
        <w:rPr>
          <w:i/>
          <w:szCs w:val="24"/>
        </w:rPr>
        <w:t xml:space="preserve"> rezidenční</w:t>
      </w:r>
      <w:r w:rsidR="00C70F89" w:rsidRPr="00C70F89">
        <w:rPr>
          <w:i/>
          <w:szCs w:val="24"/>
        </w:rPr>
        <w:t>ch</w:t>
      </w:r>
      <w:r w:rsidRPr="00C70F89">
        <w:rPr>
          <w:i/>
          <w:szCs w:val="24"/>
        </w:rPr>
        <w:t xml:space="preserve"> lokalit</w:t>
      </w:r>
      <w:r w:rsidR="00C70F89" w:rsidRPr="00C70F89">
        <w:rPr>
          <w:i/>
          <w:szCs w:val="24"/>
        </w:rPr>
        <w:t>ách</w:t>
      </w:r>
      <w:r w:rsidRPr="00C70F89">
        <w:rPr>
          <w:i/>
          <w:szCs w:val="24"/>
        </w:rPr>
        <w:t xml:space="preserve">, ve kterých by přítomnost </w:t>
      </w:r>
      <w:r w:rsidR="00C70F89" w:rsidRPr="00C70F89">
        <w:rPr>
          <w:i/>
          <w:szCs w:val="24"/>
        </w:rPr>
        <w:t>provozovny loterií</w:t>
      </w:r>
      <w:r w:rsidRPr="00C70F89">
        <w:rPr>
          <w:i/>
          <w:szCs w:val="24"/>
        </w:rPr>
        <w:t xml:space="preserve"> byla rušícím elementem </w:t>
      </w:r>
      <w:r w:rsidR="00C70F89">
        <w:rPr>
          <w:i/>
          <w:szCs w:val="24"/>
        </w:rPr>
        <w:t xml:space="preserve">(např. </w:t>
      </w:r>
      <w:r w:rsidR="00597638">
        <w:rPr>
          <w:i/>
          <w:szCs w:val="24"/>
        </w:rPr>
        <w:t>Žižkovo údolí</w:t>
      </w:r>
      <w:r w:rsidR="00371568">
        <w:rPr>
          <w:i/>
          <w:szCs w:val="24"/>
        </w:rPr>
        <w:t xml:space="preserve">, </w:t>
      </w:r>
      <w:proofErr w:type="spellStart"/>
      <w:r w:rsidR="00371568">
        <w:rPr>
          <w:i/>
          <w:szCs w:val="24"/>
        </w:rPr>
        <w:t>Bezovka</w:t>
      </w:r>
      <w:proofErr w:type="spellEnd"/>
      <w:r w:rsidR="00371568">
        <w:rPr>
          <w:i/>
          <w:szCs w:val="24"/>
        </w:rPr>
        <w:t>, Kyselka</w:t>
      </w:r>
      <w:r w:rsidR="00C70F89">
        <w:rPr>
          <w:i/>
          <w:szCs w:val="24"/>
        </w:rPr>
        <w:t xml:space="preserve">), jakož i v částech města, v nichž v minulosti nebyla umístěna žádná provozovna loterií (např. </w:t>
      </w:r>
      <w:r w:rsidR="00371568">
        <w:rPr>
          <w:i/>
          <w:szCs w:val="24"/>
        </w:rPr>
        <w:t xml:space="preserve">Žižkovo údolí, </w:t>
      </w:r>
      <w:proofErr w:type="spellStart"/>
      <w:r w:rsidR="00371568">
        <w:rPr>
          <w:i/>
          <w:szCs w:val="24"/>
        </w:rPr>
        <w:t>Bezovka</w:t>
      </w:r>
      <w:proofErr w:type="spellEnd"/>
      <w:r w:rsidR="00371568">
        <w:rPr>
          <w:i/>
          <w:szCs w:val="24"/>
        </w:rPr>
        <w:t>, PP II.</w:t>
      </w:r>
      <w:r w:rsidR="00C70F89">
        <w:rPr>
          <w:i/>
          <w:szCs w:val="24"/>
        </w:rPr>
        <w:t>).</w:t>
      </w:r>
    </w:p>
    <w:p w14:paraId="4CEFBB62" w14:textId="77777777" w:rsidR="00814665" w:rsidRDefault="00C70F89" w:rsidP="00C70F89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>
        <w:rPr>
          <w:i/>
          <w:szCs w:val="24"/>
        </w:rPr>
        <w:t xml:space="preserve">Provozovny loterií by neměly být všechny umístěny v jedné části města (např. v centru), aby se případné negativní dopady spojené s provozováním těchto </w:t>
      </w:r>
      <w:r w:rsidR="00814665">
        <w:rPr>
          <w:i/>
          <w:szCs w:val="24"/>
        </w:rPr>
        <w:t>provozove</w:t>
      </w:r>
      <w:r>
        <w:rPr>
          <w:i/>
          <w:szCs w:val="24"/>
        </w:rPr>
        <w:t xml:space="preserve">n nekumulovaly v jednom místě. Zároveň by ale každá provozovna loterií neměla být umístěna v jiné části města, neboť je </w:t>
      </w:r>
      <w:r w:rsidR="00814665">
        <w:rPr>
          <w:i/>
          <w:szCs w:val="24"/>
        </w:rPr>
        <w:t xml:space="preserve">pak </w:t>
      </w:r>
      <w:r>
        <w:rPr>
          <w:i/>
          <w:szCs w:val="24"/>
        </w:rPr>
        <w:t xml:space="preserve">pro město </w:t>
      </w:r>
      <w:r w:rsidR="00814665">
        <w:rPr>
          <w:i/>
          <w:szCs w:val="24"/>
        </w:rPr>
        <w:t xml:space="preserve">náročné kontrolovat řádnost </w:t>
      </w:r>
      <w:r w:rsidR="00DF1432">
        <w:rPr>
          <w:i/>
          <w:szCs w:val="24"/>
        </w:rPr>
        <w:t>fungován</w:t>
      </w:r>
      <w:r w:rsidR="00814665">
        <w:rPr>
          <w:i/>
          <w:szCs w:val="24"/>
        </w:rPr>
        <w:t xml:space="preserve">í těchto </w:t>
      </w:r>
      <w:r w:rsidR="00FD7679">
        <w:rPr>
          <w:i/>
          <w:szCs w:val="24"/>
        </w:rPr>
        <w:t>provozove</w:t>
      </w:r>
      <w:r w:rsidR="00814665">
        <w:rPr>
          <w:i/>
          <w:szCs w:val="24"/>
        </w:rPr>
        <w:t>n.</w:t>
      </w:r>
    </w:p>
    <w:p w14:paraId="23F4748C" w14:textId="77777777" w:rsidR="003266E5" w:rsidRDefault="00814665" w:rsidP="00C70F89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>
        <w:rPr>
          <w:i/>
          <w:szCs w:val="24"/>
        </w:rPr>
        <w:t>Na základě těchto kritérií město dospělo k závěru, že by dvě provozovny loterií měly být umístěny v centru města a dvě na sídlišti Za Chlumem</w:t>
      </w:r>
      <w:r w:rsidR="008C0FF7">
        <w:rPr>
          <w:i/>
          <w:szCs w:val="24"/>
        </w:rPr>
        <w:t xml:space="preserve">. </w:t>
      </w:r>
    </w:p>
    <w:p w14:paraId="7427DF72" w14:textId="77777777" w:rsidR="008C0FF7" w:rsidRDefault="008C0FF7" w:rsidP="00C70F89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 w:rsidRPr="000B0E1F">
        <w:rPr>
          <w:i/>
          <w:szCs w:val="24"/>
        </w:rPr>
        <w:t>Co se týče centra</w:t>
      </w:r>
      <w:r>
        <w:rPr>
          <w:i/>
          <w:szCs w:val="24"/>
        </w:rPr>
        <w:t xml:space="preserve"> města</w:t>
      </w:r>
      <w:r w:rsidRPr="000B0E1F">
        <w:rPr>
          <w:i/>
          <w:szCs w:val="24"/>
        </w:rPr>
        <w:t xml:space="preserve">, rozhodlo se město povolit provozování loterií v oblasti ohraničené ulicemi Bílinská, Pivovarská, Wolkerova a </w:t>
      </w:r>
      <w:proofErr w:type="spellStart"/>
      <w:r w:rsidRPr="000B0E1F">
        <w:rPr>
          <w:i/>
          <w:szCs w:val="24"/>
        </w:rPr>
        <w:t>Břežánská</w:t>
      </w:r>
      <w:proofErr w:type="spellEnd"/>
      <w:r w:rsidR="00FD7679">
        <w:rPr>
          <w:i/>
          <w:szCs w:val="24"/>
        </w:rPr>
        <w:t>,</w:t>
      </w:r>
      <w:r w:rsidRPr="000B0E1F">
        <w:rPr>
          <w:i/>
          <w:szCs w:val="24"/>
        </w:rPr>
        <w:t xml:space="preserve"> a to včetně těchto ulic. Při určování této lokality vzalo město v potaz zejména relativní stabilitu a klidnost této lokality, charakter městské památkové zóny, blízkost služebny Městské policie Bílina a v neposlední řadě také relativní vzdálenost od hlavních historických památek města. Ve snaze co nejméně </w:t>
      </w:r>
      <w:r w:rsidR="00FD7679">
        <w:rPr>
          <w:i/>
          <w:szCs w:val="24"/>
        </w:rPr>
        <w:t>na</w:t>
      </w:r>
      <w:r w:rsidRPr="000B0E1F">
        <w:rPr>
          <w:i/>
          <w:szCs w:val="24"/>
        </w:rPr>
        <w:t>rušit charakter historického jádra města se město rozhodlo další rozšiřování povolené oblasti v rámci městského centra odmítnout. To platí zejména pro Mírové náměstí, okolí městské hradby, okolí kostela sv. Petra</w:t>
      </w:r>
      <w:r w:rsidRPr="00410CFA">
        <w:rPr>
          <w:i/>
          <w:szCs w:val="24"/>
        </w:rPr>
        <w:t xml:space="preserve"> a Pavla nebo zámku. Nad rámec již uvedených důvodů byly, s přihlédnutím k judikatuře Ústavního soudu ve věci </w:t>
      </w:r>
      <w:r w:rsidR="00FD7679">
        <w:rPr>
          <w:i/>
          <w:szCs w:val="24"/>
        </w:rPr>
        <w:t xml:space="preserve">město </w:t>
      </w:r>
      <w:r w:rsidRPr="00410CFA">
        <w:rPr>
          <w:i/>
          <w:szCs w:val="24"/>
        </w:rPr>
        <w:t>Klad</w:t>
      </w:r>
      <w:r w:rsidR="00FD7679">
        <w:rPr>
          <w:i/>
          <w:szCs w:val="24"/>
        </w:rPr>
        <w:t>no (</w:t>
      </w:r>
      <w:proofErr w:type="spellStart"/>
      <w:r w:rsidR="00FD7679">
        <w:rPr>
          <w:i/>
          <w:szCs w:val="24"/>
        </w:rPr>
        <w:t>Pl</w:t>
      </w:r>
      <w:proofErr w:type="spellEnd"/>
      <w:r w:rsidR="00FD7679">
        <w:rPr>
          <w:i/>
          <w:szCs w:val="24"/>
        </w:rPr>
        <w:t>. ÚS 22/11)</w:t>
      </w:r>
      <w:r w:rsidRPr="00410CFA">
        <w:rPr>
          <w:i/>
          <w:szCs w:val="24"/>
        </w:rPr>
        <w:t xml:space="preserve">, </w:t>
      </w:r>
      <w:r w:rsidRPr="00597638">
        <w:rPr>
          <w:i/>
          <w:szCs w:val="24"/>
        </w:rPr>
        <w:t>blízkost kostela a</w:t>
      </w:r>
      <w:r w:rsidRPr="00410CFA">
        <w:rPr>
          <w:i/>
          <w:szCs w:val="24"/>
        </w:rPr>
        <w:t xml:space="preserve"> v minulosti časté porušování veřejného pořádku důvodem pro vyloučení ulic </w:t>
      </w:r>
      <w:r w:rsidR="00664BC9">
        <w:rPr>
          <w:i/>
          <w:szCs w:val="24"/>
        </w:rPr>
        <w:t xml:space="preserve">Komenského, </w:t>
      </w:r>
      <w:r w:rsidRPr="00410CFA">
        <w:rPr>
          <w:i/>
          <w:szCs w:val="24"/>
        </w:rPr>
        <w:t>Seifertova</w:t>
      </w:r>
      <w:r w:rsidR="00664BC9">
        <w:rPr>
          <w:i/>
          <w:szCs w:val="24"/>
        </w:rPr>
        <w:t xml:space="preserve"> a Zámecká</w:t>
      </w:r>
      <w:r>
        <w:rPr>
          <w:i/>
          <w:szCs w:val="24"/>
        </w:rPr>
        <w:t>.</w:t>
      </w:r>
    </w:p>
    <w:p w14:paraId="38B40848" w14:textId="77777777" w:rsidR="008C0FF7" w:rsidRDefault="008C0FF7" w:rsidP="00C70F89">
      <w:pPr>
        <w:pStyle w:val="Odstavecseseznamem"/>
        <w:numPr>
          <w:ilvl w:val="0"/>
          <w:numId w:val="2"/>
        </w:numPr>
        <w:jc w:val="both"/>
        <w:rPr>
          <w:i/>
          <w:szCs w:val="24"/>
        </w:rPr>
      </w:pPr>
      <w:r>
        <w:rPr>
          <w:i/>
          <w:szCs w:val="24"/>
        </w:rPr>
        <w:t>S</w:t>
      </w:r>
      <w:r w:rsidRPr="00410CFA">
        <w:rPr>
          <w:i/>
          <w:szCs w:val="24"/>
        </w:rPr>
        <w:t>ídliště Za Chlumem ohraničen</w:t>
      </w:r>
      <w:r>
        <w:rPr>
          <w:i/>
          <w:szCs w:val="24"/>
        </w:rPr>
        <w:t>é</w:t>
      </w:r>
      <w:r w:rsidRPr="00410CFA">
        <w:rPr>
          <w:i/>
          <w:szCs w:val="24"/>
        </w:rPr>
        <w:t xml:space="preserve"> ulicemi Sídliště </w:t>
      </w:r>
      <w:r w:rsidR="004D6A91">
        <w:rPr>
          <w:i/>
          <w:szCs w:val="24"/>
        </w:rPr>
        <w:t>Z</w:t>
      </w:r>
      <w:r w:rsidRPr="00410CFA">
        <w:rPr>
          <w:i/>
          <w:szCs w:val="24"/>
        </w:rPr>
        <w:t>a Chlumem a Litoměřická</w:t>
      </w:r>
      <w:r>
        <w:rPr>
          <w:i/>
          <w:szCs w:val="24"/>
        </w:rPr>
        <w:t xml:space="preserve"> bylo vybráno z toho důvodu, že </w:t>
      </w:r>
      <w:r w:rsidR="00795DA7">
        <w:rPr>
          <w:i/>
          <w:szCs w:val="24"/>
        </w:rPr>
        <w:t>jde</w:t>
      </w:r>
      <w:r w:rsidRPr="000B0E1F">
        <w:rPr>
          <w:i/>
          <w:szCs w:val="24"/>
        </w:rPr>
        <w:t xml:space="preserve"> </w:t>
      </w:r>
      <w:r w:rsidR="00795DA7">
        <w:rPr>
          <w:i/>
          <w:szCs w:val="24"/>
        </w:rPr>
        <w:t xml:space="preserve">o </w:t>
      </w:r>
      <w:r w:rsidRPr="000B0E1F">
        <w:rPr>
          <w:i/>
          <w:szCs w:val="24"/>
        </w:rPr>
        <w:t>relativn</w:t>
      </w:r>
      <w:r w:rsidR="00795DA7">
        <w:rPr>
          <w:i/>
          <w:szCs w:val="24"/>
        </w:rPr>
        <w:t>ě</w:t>
      </w:r>
      <w:r w:rsidRPr="000B0E1F">
        <w:rPr>
          <w:i/>
          <w:szCs w:val="24"/>
        </w:rPr>
        <w:t xml:space="preserve"> stabil</w:t>
      </w:r>
      <w:r w:rsidR="00795DA7">
        <w:rPr>
          <w:i/>
          <w:szCs w:val="24"/>
        </w:rPr>
        <w:t xml:space="preserve">ní a </w:t>
      </w:r>
      <w:r w:rsidRPr="000B0E1F">
        <w:rPr>
          <w:i/>
          <w:szCs w:val="24"/>
        </w:rPr>
        <w:t>bezpečno</w:t>
      </w:r>
      <w:r w:rsidR="00795DA7">
        <w:rPr>
          <w:i/>
          <w:szCs w:val="24"/>
        </w:rPr>
        <w:t>u</w:t>
      </w:r>
      <w:r w:rsidRPr="000B0E1F">
        <w:rPr>
          <w:i/>
          <w:szCs w:val="24"/>
        </w:rPr>
        <w:t xml:space="preserve"> lokality v porovnání se zbytkem města</w:t>
      </w:r>
      <w:r w:rsidR="00795DA7">
        <w:rPr>
          <w:i/>
          <w:szCs w:val="24"/>
        </w:rPr>
        <w:t>, a zároveň</w:t>
      </w:r>
      <w:r w:rsidRPr="000B0E1F">
        <w:rPr>
          <w:i/>
          <w:szCs w:val="24"/>
        </w:rPr>
        <w:t xml:space="preserve"> má s přítomností </w:t>
      </w:r>
      <w:r w:rsidR="00795DA7">
        <w:rPr>
          <w:i/>
          <w:szCs w:val="24"/>
        </w:rPr>
        <w:t xml:space="preserve">provozoven loterií </w:t>
      </w:r>
      <w:r w:rsidRPr="000B0E1F">
        <w:rPr>
          <w:i/>
          <w:szCs w:val="24"/>
        </w:rPr>
        <w:t>dlouhodobou bezproblémovou zkušenost</w:t>
      </w:r>
      <w:r w:rsidR="00795DA7">
        <w:rPr>
          <w:i/>
          <w:szCs w:val="24"/>
        </w:rPr>
        <w:t>.</w:t>
      </w:r>
    </w:p>
    <w:p w14:paraId="6DAE9356" w14:textId="77777777" w:rsidR="00814665" w:rsidRDefault="00814665" w:rsidP="00814665">
      <w:pPr>
        <w:jc w:val="both"/>
        <w:rPr>
          <w:i/>
          <w:szCs w:val="24"/>
        </w:rPr>
      </w:pPr>
    </w:p>
    <w:p w14:paraId="5D573AA2" w14:textId="3A2BA076" w:rsidR="00814665" w:rsidRPr="00935E38" w:rsidRDefault="00814665" w:rsidP="00814665">
      <w:pPr>
        <w:jc w:val="both"/>
        <w:rPr>
          <w:i/>
          <w:szCs w:val="24"/>
        </w:rPr>
      </w:pPr>
      <w:r w:rsidRPr="00935E38">
        <w:rPr>
          <w:i/>
          <w:szCs w:val="24"/>
        </w:rPr>
        <w:t>(</w:t>
      </w:r>
      <w:r w:rsidR="002D1B89">
        <w:rPr>
          <w:i/>
          <w:szCs w:val="24"/>
        </w:rPr>
        <w:t>6</w:t>
      </w:r>
      <w:r w:rsidRPr="00935E38">
        <w:rPr>
          <w:i/>
          <w:szCs w:val="24"/>
        </w:rPr>
        <w:t xml:space="preserve">) </w:t>
      </w:r>
      <w:r w:rsidR="00CE3F51" w:rsidRPr="00935E38">
        <w:rPr>
          <w:i/>
          <w:szCs w:val="24"/>
        </w:rPr>
        <w:t xml:space="preserve">Výběr konkrétních adresných míst </w:t>
      </w:r>
      <w:r w:rsidR="00017CC3" w:rsidRPr="00935E38">
        <w:rPr>
          <w:i/>
          <w:szCs w:val="24"/>
        </w:rPr>
        <w:t xml:space="preserve">v rámci částí města </w:t>
      </w:r>
      <w:r w:rsidR="00FD7679" w:rsidRPr="00935E38">
        <w:rPr>
          <w:i/>
          <w:szCs w:val="24"/>
        </w:rPr>
        <w:t xml:space="preserve">vybraných </w:t>
      </w:r>
      <w:r w:rsidR="00017CC3" w:rsidRPr="00935E38">
        <w:rPr>
          <w:i/>
          <w:szCs w:val="24"/>
        </w:rPr>
        <w:t xml:space="preserve">dle předchozího bodu </w:t>
      </w:r>
      <w:r w:rsidR="00CE3F51" w:rsidRPr="00935E38">
        <w:rPr>
          <w:i/>
          <w:szCs w:val="24"/>
        </w:rPr>
        <w:t xml:space="preserve">se </w:t>
      </w:r>
      <w:r w:rsidR="00CE3F51" w:rsidRPr="00935E38">
        <w:rPr>
          <w:i/>
          <w:szCs w:val="24"/>
        </w:rPr>
        <w:lastRenderedPageBreak/>
        <w:t>pak řídil následujícími kritérii:</w:t>
      </w:r>
    </w:p>
    <w:p w14:paraId="7671445F" w14:textId="77777777" w:rsidR="00CE3F51" w:rsidRPr="00935E38" w:rsidRDefault="00CE3F51" w:rsidP="00814665">
      <w:pPr>
        <w:jc w:val="both"/>
        <w:rPr>
          <w:i/>
          <w:szCs w:val="24"/>
        </w:rPr>
      </w:pPr>
    </w:p>
    <w:p w14:paraId="7258E373" w14:textId="793C1B1C" w:rsidR="00AA45FD" w:rsidRPr="00935E38" w:rsidRDefault="00810340" w:rsidP="002D1B89">
      <w:pPr>
        <w:pStyle w:val="Odstavecseseznamem"/>
        <w:numPr>
          <w:ilvl w:val="0"/>
          <w:numId w:val="3"/>
        </w:numPr>
        <w:jc w:val="both"/>
        <w:rPr>
          <w:i/>
          <w:szCs w:val="24"/>
        </w:rPr>
      </w:pPr>
      <w:r w:rsidRPr="00935E38">
        <w:rPr>
          <w:i/>
          <w:szCs w:val="24"/>
        </w:rPr>
        <w:t>Vyloučen</w:t>
      </w:r>
      <w:r>
        <w:rPr>
          <w:i/>
          <w:szCs w:val="24"/>
        </w:rPr>
        <w:t>a</w:t>
      </w:r>
      <w:r w:rsidRPr="00935E38">
        <w:rPr>
          <w:i/>
          <w:szCs w:val="24"/>
        </w:rPr>
        <w:t xml:space="preserve"> </w:t>
      </w:r>
      <w:r w:rsidR="00017CC3" w:rsidRPr="00935E38">
        <w:rPr>
          <w:i/>
          <w:szCs w:val="24"/>
        </w:rPr>
        <w:t xml:space="preserve">jsou </w:t>
      </w:r>
      <w:r>
        <w:rPr>
          <w:i/>
          <w:szCs w:val="24"/>
        </w:rPr>
        <w:t xml:space="preserve">místa, </w:t>
      </w:r>
      <w:r w:rsidR="004B75C5">
        <w:rPr>
          <w:i/>
          <w:szCs w:val="24"/>
        </w:rPr>
        <w:t>v</w:t>
      </w:r>
      <w:r>
        <w:rPr>
          <w:i/>
          <w:szCs w:val="24"/>
        </w:rPr>
        <w:t xml:space="preserve"> nichž </w:t>
      </w:r>
      <w:r w:rsidR="00F002F1">
        <w:rPr>
          <w:i/>
          <w:szCs w:val="24"/>
        </w:rPr>
        <w:t xml:space="preserve">jsou nebo </w:t>
      </w:r>
      <w:r>
        <w:rPr>
          <w:i/>
          <w:szCs w:val="24"/>
        </w:rPr>
        <w:t xml:space="preserve">byly umístěny </w:t>
      </w:r>
      <w:r w:rsidR="00017CC3" w:rsidRPr="00935E38">
        <w:rPr>
          <w:i/>
          <w:szCs w:val="24"/>
        </w:rPr>
        <w:t>provozovny, v</w:t>
      </w:r>
      <w:r>
        <w:rPr>
          <w:i/>
          <w:szCs w:val="24"/>
        </w:rPr>
        <w:t>e</w:t>
      </w:r>
      <w:r w:rsidR="00017CC3" w:rsidRPr="00935E38">
        <w:rPr>
          <w:i/>
          <w:szCs w:val="24"/>
        </w:rPr>
        <w:t> </w:t>
      </w:r>
      <w:r>
        <w:rPr>
          <w:i/>
          <w:szCs w:val="24"/>
        </w:rPr>
        <w:t>kterých</w:t>
      </w:r>
      <w:r w:rsidRPr="00935E38">
        <w:rPr>
          <w:i/>
          <w:szCs w:val="24"/>
        </w:rPr>
        <w:t xml:space="preserve"> </w:t>
      </w:r>
      <w:r w:rsidR="00017CC3" w:rsidRPr="00935E38">
        <w:rPr>
          <w:i/>
          <w:szCs w:val="24"/>
        </w:rPr>
        <w:t>v</w:t>
      </w:r>
      <w:r w:rsidR="00FD7679" w:rsidRPr="00935E38">
        <w:rPr>
          <w:i/>
          <w:szCs w:val="24"/>
        </w:rPr>
        <w:t xml:space="preserve"> posledních pěti letech </w:t>
      </w:r>
      <w:r w:rsidR="00017CC3" w:rsidRPr="00935E38">
        <w:rPr>
          <w:i/>
          <w:szCs w:val="24"/>
        </w:rPr>
        <w:t>do</w:t>
      </w:r>
      <w:r w:rsidR="00FD7679" w:rsidRPr="00935E38">
        <w:rPr>
          <w:i/>
          <w:szCs w:val="24"/>
        </w:rPr>
        <w:t>šlo</w:t>
      </w:r>
      <w:r w:rsidR="002D1B89">
        <w:rPr>
          <w:i/>
          <w:szCs w:val="24"/>
        </w:rPr>
        <w:t xml:space="preserve"> ze strany provozovatele </w:t>
      </w:r>
      <w:r w:rsidR="00017CC3" w:rsidRPr="00935E38">
        <w:rPr>
          <w:i/>
          <w:szCs w:val="24"/>
        </w:rPr>
        <w:t>k</w:t>
      </w:r>
      <w:r w:rsidR="00795DA7" w:rsidRPr="00935E38">
        <w:rPr>
          <w:i/>
          <w:szCs w:val="24"/>
        </w:rPr>
        <w:t xml:space="preserve"> prokazatelnému zaviněnému </w:t>
      </w:r>
      <w:r w:rsidR="00017CC3" w:rsidRPr="00935E38">
        <w:rPr>
          <w:i/>
          <w:szCs w:val="24"/>
        </w:rPr>
        <w:t>poruš</w:t>
      </w:r>
      <w:r w:rsidR="00FD7679" w:rsidRPr="00935E38">
        <w:rPr>
          <w:i/>
          <w:szCs w:val="24"/>
        </w:rPr>
        <w:t>ení</w:t>
      </w:r>
      <w:r w:rsidR="00017CC3" w:rsidRPr="00935E38">
        <w:rPr>
          <w:i/>
          <w:szCs w:val="24"/>
        </w:rPr>
        <w:t xml:space="preserve"> buď předpisů města, nebo obecně závazných právních předpisů</w:t>
      </w:r>
      <w:r w:rsidR="002D1B89">
        <w:rPr>
          <w:i/>
          <w:szCs w:val="24"/>
        </w:rPr>
        <w:t xml:space="preserve"> v souvislosti s provozováním loterií.</w:t>
      </w:r>
      <w:r w:rsidR="00017CC3" w:rsidRPr="00935E38">
        <w:rPr>
          <w:i/>
          <w:szCs w:val="24"/>
        </w:rPr>
        <w:t xml:space="preserve"> </w:t>
      </w:r>
    </w:p>
    <w:p w14:paraId="571AA531" w14:textId="77777777" w:rsidR="00017CC3" w:rsidRPr="00935E38" w:rsidRDefault="00017CC3" w:rsidP="00CE3F51">
      <w:pPr>
        <w:pStyle w:val="Odstavecseseznamem"/>
        <w:numPr>
          <w:ilvl w:val="0"/>
          <w:numId w:val="3"/>
        </w:numPr>
        <w:jc w:val="both"/>
        <w:rPr>
          <w:i/>
          <w:szCs w:val="24"/>
        </w:rPr>
      </w:pPr>
      <w:r w:rsidRPr="00935E38">
        <w:rPr>
          <w:i/>
          <w:szCs w:val="24"/>
        </w:rPr>
        <w:t xml:space="preserve">Z hlediska bezpečnosti musí jít o </w:t>
      </w:r>
      <w:r w:rsidR="004B75C5">
        <w:rPr>
          <w:i/>
          <w:szCs w:val="24"/>
        </w:rPr>
        <w:t xml:space="preserve">místa, </w:t>
      </w:r>
      <w:r w:rsidR="0010020C">
        <w:rPr>
          <w:i/>
          <w:szCs w:val="24"/>
        </w:rPr>
        <w:t>v</w:t>
      </w:r>
      <w:r w:rsidR="004B75C5">
        <w:rPr>
          <w:i/>
          <w:szCs w:val="24"/>
        </w:rPr>
        <w:t xml:space="preserve"> nichž se nachází </w:t>
      </w:r>
      <w:r w:rsidRPr="00935E38">
        <w:rPr>
          <w:i/>
          <w:szCs w:val="24"/>
        </w:rPr>
        <w:t>provozovny monitorované městským kamerovým systémem a/nebo vybavené vlastním bezpečnostním kamerovým systémem. Dvě z vybraných adresných míst se přitom nachází v bezprostřední blízkosti služebny Městské policie Bílina, další dvě jsou od této služebny vzdáleny cca 1 km. Tato kombinace je podstatn</w:t>
      </w:r>
      <w:r w:rsidR="00AA45FD" w:rsidRPr="00935E38">
        <w:rPr>
          <w:i/>
          <w:szCs w:val="24"/>
        </w:rPr>
        <w:t>á</w:t>
      </w:r>
      <w:r w:rsidRPr="00935E38">
        <w:rPr>
          <w:i/>
          <w:szCs w:val="24"/>
        </w:rPr>
        <w:t xml:space="preserve"> pro naplnění požadavku zachování bezpečnosti a zákonnosti v samotných provozovnách a jejich okolí (</w:t>
      </w:r>
      <w:r w:rsidR="00371568">
        <w:rPr>
          <w:i/>
          <w:szCs w:val="24"/>
        </w:rPr>
        <w:t>např. otevírání na zazvonění, kamerový systém s nahráváním a uchováváním dat na delší dobu, na vyžádání předání nahrávky či jiné podklady PČR i MP, tlačítko nouze, oddělené prostory herny od barové části</w:t>
      </w:r>
      <w:r w:rsidRPr="00935E38">
        <w:rPr>
          <w:i/>
          <w:szCs w:val="24"/>
        </w:rPr>
        <w:t>).</w:t>
      </w:r>
    </w:p>
    <w:p w14:paraId="344030BA" w14:textId="77777777" w:rsidR="00017CC3" w:rsidRPr="00935E38" w:rsidRDefault="00D93786" w:rsidP="00CE3F51">
      <w:pPr>
        <w:pStyle w:val="Odstavecseseznamem"/>
        <w:numPr>
          <w:ilvl w:val="0"/>
          <w:numId w:val="3"/>
        </w:numPr>
        <w:jc w:val="both"/>
        <w:rPr>
          <w:i/>
          <w:szCs w:val="24"/>
        </w:rPr>
      </w:pPr>
      <w:r w:rsidRPr="00935E38">
        <w:rPr>
          <w:i/>
          <w:szCs w:val="24"/>
        </w:rPr>
        <w:t>Provozovny</w:t>
      </w:r>
      <w:r w:rsidR="0010020C">
        <w:rPr>
          <w:i/>
          <w:szCs w:val="24"/>
        </w:rPr>
        <w:t>, které se na uvažovaných místech nachází,</w:t>
      </w:r>
      <w:r w:rsidRPr="00935E38">
        <w:rPr>
          <w:i/>
          <w:szCs w:val="24"/>
        </w:rPr>
        <w:t xml:space="preserve"> musí dále splňovat základní estetické a hygienické požada</w:t>
      </w:r>
      <w:r w:rsidR="00795DA7" w:rsidRPr="00935E38">
        <w:rPr>
          <w:i/>
          <w:szCs w:val="24"/>
        </w:rPr>
        <w:t>v</w:t>
      </w:r>
      <w:r w:rsidRPr="00935E38">
        <w:rPr>
          <w:i/>
          <w:szCs w:val="24"/>
        </w:rPr>
        <w:t>ky.</w:t>
      </w:r>
    </w:p>
    <w:p w14:paraId="3DD49716" w14:textId="1D8847D7" w:rsidR="00D93786" w:rsidRPr="00B969D0" w:rsidRDefault="002D29A5" w:rsidP="002D29A5">
      <w:pPr>
        <w:pStyle w:val="Odstavecseseznamem"/>
        <w:numPr>
          <w:ilvl w:val="0"/>
          <w:numId w:val="3"/>
        </w:numPr>
        <w:jc w:val="both"/>
        <w:rPr>
          <w:i/>
          <w:szCs w:val="24"/>
        </w:rPr>
      </w:pPr>
      <w:r w:rsidRPr="00625A64">
        <w:rPr>
          <w:i/>
          <w:szCs w:val="24"/>
        </w:rPr>
        <w:t xml:space="preserve">Na základě uvedených kritérií byla nakonec vybrána čtyři adresná místa jednoznačně splňující uvedená kritéria, </w:t>
      </w:r>
      <w:r w:rsidR="00281544" w:rsidRPr="00625A64">
        <w:rPr>
          <w:i/>
          <w:szCs w:val="24"/>
        </w:rPr>
        <w:t>ve</w:t>
      </w:r>
      <w:r w:rsidRPr="00625A64">
        <w:rPr>
          <w:i/>
          <w:szCs w:val="24"/>
        </w:rPr>
        <w:t xml:space="preserve"> kterých se nachází provozovny vyhovující zmíněným požadavkům města.</w:t>
      </w:r>
      <w:r w:rsidR="00B969D0" w:rsidRPr="00625A64">
        <w:rPr>
          <w:i/>
          <w:szCs w:val="24"/>
        </w:rPr>
        <w:t xml:space="preserve"> </w:t>
      </w:r>
      <w:r w:rsidR="00B969D0" w:rsidRPr="004D6A91">
        <w:rPr>
          <w:i/>
          <w:szCs w:val="24"/>
        </w:rPr>
        <w:t xml:space="preserve">Jedná se přitom o provozovny, s nimiž má město dlouhodobě pozitivní zkušenosti. Tyto provozovny dlouhodobě důsledně dodržují stanovené předpisy a v minulosti aktivně spolupracovaly s městem na odstranění negativních jevů spojených s provozováním loterií, o čemž svědčí např. jimi navržený Kodex chování provozovatelů výherních zařízení. </w:t>
      </w:r>
      <w:r w:rsidR="00F91205" w:rsidRPr="004D6A91">
        <w:rPr>
          <w:i/>
          <w:szCs w:val="24"/>
        </w:rPr>
        <w:t xml:space="preserve"> </w:t>
      </w:r>
      <w:r w:rsidR="00795DA7" w:rsidRPr="004D6A91">
        <w:rPr>
          <w:i/>
          <w:szCs w:val="24"/>
        </w:rPr>
        <w:t xml:space="preserve"> </w:t>
      </w:r>
    </w:p>
    <w:p w14:paraId="1FB4EEED" w14:textId="77777777" w:rsidR="00C70F89" w:rsidRPr="00814665" w:rsidRDefault="00C70F89" w:rsidP="00814665">
      <w:pPr>
        <w:ind w:left="360"/>
        <w:jc w:val="both"/>
        <w:rPr>
          <w:i/>
          <w:szCs w:val="24"/>
        </w:rPr>
      </w:pPr>
    </w:p>
    <w:p w14:paraId="7B3EBBF5" w14:textId="1038D60E" w:rsidR="00F91205" w:rsidRDefault="00F91205" w:rsidP="00864E7D">
      <w:pPr>
        <w:jc w:val="both"/>
        <w:rPr>
          <w:i/>
          <w:szCs w:val="24"/>
        </w:rPr>
      </w:pPr>
      <w:r>
        <w:rPr>
          <w:i/>
          <w:szCs w:val="24"/>
        </w:rPr>
        <w:t>(</w:t>
      </w:r>
      <w:r w:rsidR="002D1B89">
        <w:rPr>
          <w:i/>
          <w:szCs w:val="24"/>
        </w:rPr>
        <w:t>7</w:t>
      </w:r>
      <w:r>
        <w:rPr>
          <w:i/>
          <w:szCs w:val="24"/>
        </w:rPr>
        <w:t>)</w:t>
      </w:r>
      <w:r w:rsidRPr="00410CFA">
        <w:rPr>
          <w:i/>
          <w:szCs w:val="24"/>
        </w:rPr>
        <w:t xml:space="preserve"> Z důvodu nastavení pravidel pro umisťování </w:t>
      </w:r>
      <w:r w:rsidR="002E62ED">
        <w:rPr>
          <w:i/>
          <w:szCs w:val="24"/>
        </w:rPr>
        <w:t>loterií na území města</w:t>
      </w:r>
      <w:r w:rsidRPr="00410CFA">
        <w:rPr>
          <w:i/>
          <w:szCs w:val="24"/>
        </w:rPr>
        <w:t xml:space="preserve">, která budou neutrální a nediskriminační povahy vůči všem soutěžitelům, zveřejnilo město návrh této vyhlášky s dostatečným předstihem a zohlednilo všechny </w:t>
      </w:r>
      <w:r w:rsidR="002E62ED">
        <w:rPr>
          <w:i/>
          <w:szCs w:val="24"/>
        </w:rPr>
        <w:t xml:space="preserve">relevantní </w:t>
      </w:r>
      <w:r w:rsidRPr="00410CFA">
        <w:rPr>
          <w:i/>
          <w:szCs w:val="24"/>
        </w:rPr>
        <w:t xml:space="preserve">argumenty týkající se tohoto návrhu v konečné podobě vyhlášky. Snahou města </w:t>
      </w:r>
      <w:r w:rsidR="002E62ED">
        <w:rPr>
          <w:i/>
          <w:szCs w:val="24"/>
        </w:rPr>
        <w:t>bylo</w:t>
      </w:r>
      <w:r w:rsidRPr="00410CFA">
        <w:rPr>
          <w:i/>
          <w:szCs w:val="24"/>
        </w:rPr>
        <w:t>, plně v souladu se stanoviskem Ú</w:t>
      </w:r>
      <w:r w:rsidR="00DF1432">
        <w:rPr>
          <w:i/>
          <w:szCs w:val="24"/>
        </w:rPr>
        <w:t>OHS</w:t>
      </w:r>
      <w:r w:rsidRPr="00410CFA">
        <w:rPr>
          <w:i/>
          <w:szCs w:val="24"/>
        </w:rPr>
        <w:t>, nastavení dostatečně určitých a nediskriminačních pravidel, která budou předem známá a přezkoumatelná</w:t>
      </w:r>
      <w:r>
        <w:rPr>
          <w:i/>
          <w:szCs w:val="24"/>
        </w:rPr>
        <w:t>.</w:t>
      </w:r>
    </w:p>
    <w:p w14:paraId="30BD993F" w14:textId="77777777" w:rsidR="00F91205" w:rsidRDefault="00F91205" w:rsidP="00864E7D">
      <w:pPr>
        <w:jc w:val="both"/>
        <w:rPr>
          <w:i/>
          <w:szCs w:val="24"/>
        </w:rPr>
      </w:pPr>
    </w:p>
    <w:p w14:paraId="236C5E25" w14:textId="77777777" w:rsidR="00371568" w:rsidRDefault="00371568" w:rsidP="00864E7D">
      <w:pPr>
        <w:jc w:val="both"/>
        <w:rPr>
          <w:i/>
          <w:szCs w:val="24"/>
        </w:rPr>
      </w:pPr>
    </w:p>
    <w:p w14:paraId="0F64837E" w14:textId="77777777" w:rsidR="00371568" w:rsidRPr="009C59A4" w:rsidRDefault="002D1B89" w:rsidP="009C59A4">
      <w:pPr>
        <w:jc w:val="center"/>
        <w:rPr>
          <w:b/>
          <w:szCs w:val="24"/>
        </w:rPr>
      </w:pPr>
      <w:r w:rsidRPr="009C59A4">
        <w:rPr>
          <w:b/>
          <w:szCs w:val="24"/>
        </w:rPr>
        <w:t>Článek 1</w:t>
      </w:r>
    </w:p>
    <w:p w14:paraId="1E152848" w14:textId="77777777" w:rsidR="002D1B89" w:rsidRPr="009C59A4" w:rsidRDefault="002D1B89" w:rsidP="009C59A4">
      <w:pPr>
        <w:jc w:val="center"/>
        <w:rPr>
          <w:b/>
          <w:szCs w:val="24"/>
        </w:rPr>
      </w:pPr>
      <w:r w:rsidRPr="009C59A4">
        <w:rPr>
          <w:b/>
          <w:szCs w:val="24"/>
        </w:rPr>
        <w:t>Předmět a cíl vyhlášky</w:t>
      </w:r>
    </w:p>
    <w:p w14:paraId="2CB70BC7" w14:textId="77777777" w:rsidR="004D6A91" w:rsidRDefault="004D6A91" w:rsidP="00864E7D">
      <w:pPr>
        <w:jc w:val="both"/>
        <w:rPr>
          <w:i/>
          <w:szCs w:val="24"/>
        </w:rPr>
      </w:pPr>
    </w:p>
    <w:p w14:paraId="054B9EEC" w14:textId="591B5415" w:rsidR="004734CC" w:rsidRPr="00810340" w:rsidRDefault="004734CC" w:rsidP="004734CC">
      <w:pPr>
        <w:jc w:val="both"/>
        <w:rPr>
          <w:szCs w:val="24"/>
        </w:rPr>
      </w:pPr>
      <w:r w:rsidRPr="004734CC">
        <w:rPr>
          <w:szCs w:val="24"/>
        </w:rPr>
        <w:t>1.</w:t>
      </w:r>
      <w:r>
        <w:rPr>
          <w:szCs w:val="24"/>
        </w:rPr>
        <w:t xml:space="preserve"> </w:t>
      </w:r>
      <w:r w:rsidRPr="004734CC">
        <w:rPr>
          <w:szCs w:val="24"/>
        </w:rPr>
        <w:t>Předmětem této vyhlášky je stanovení takových míst na území města Bíliny</w:t>
      </w:r>
      <w:r w:rsidRPr="00810340">
        <w:rPr>
          <w:szCs w:val="24"/>
        </w:rPr>
        <w:t xml:space="preserve">, v nichž mohou být provozovny loterií umístěny. </w:t>
      </w:r>
    </w:p>
    <w:p w14:paraId="411C7E1B" w14:textId="77777777" w:rsidR="004734CC" w:rsidRDefault="004734CC" w:rsidP="006E09BA">
      <w:pPr>
        <w:pStyle w:val="Odstavecseseznamem"/>
        <w:ind w:left="0"/>
        <w:jc w:val="both"/>
        <w:rPr>
          <w:szCs w:val="24"/>
        </w:rPr>
      </w:pPr>
    </w:p>
    <w:p w14:paraId="7D1E9863" w14:textId="4D82BFB5" w:rsidR="004734CC" w:rsidRDefault="004734CC" w:rsidP="006E09BA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2. Cílem této vyhlášky je umožnit provozovat loterie v přiměřené míře a na nejvhodnějších místech ve městě</w:t>
      </w:r>
      <w:r w:rsidR="00380C75">
        <w:rPr>
          <w:szCs w:val="24"/>
        </w:rPr>
        <w:t xml:space="preserve"> Bílina</w:t>
      </w:r>
      <w:r>
        <w:rPr>
          <w:szCs w:val="24"/>
        </w:rPr>
        <w:t>, a to jak z pohledu ochrany osob účastnících se loterie, tak i z pohledu ochrany osob neúčastnících se loterie.</w:t>
      </w:r>
    </w:p>
    <w:p w14:paraId="51CC9262" w14:textId="77777777" w:rsidR="004D6A91" w:rsidRPr="004734CC" w:rsidRDefault="004D6A91" w:rsidP="004734CC">
      <w:pPr>
        <w:jc w:val="both"/>
        <w:rPr>
          <w:i/>
          <w:szCs w:val="24"/>
        </w:rPr>
      </w:pPr>
    </w:p>
    <w:p w14:paraId="3018A19A" w14:textId="77777777" w:rsidR="008F4B3E" w:rsidRPr="001920CE" w:rsidRDefault="008F4B3E" w:rsidP="00EE1BBF">
      <w:pPr>
        <w:jc w:val="both"/>
        <w:rPr>
          <w:szCs w:val="24"/>
        </w:rPr>
      </w:pPr>
    </w:p>
    <w:p w14:paraId="3BFC6F48" w14:textId="77777777" w:rsidR="0010020C" w:rsidRDefault="0010020C" w:rsidP="00EE1BBF">
      <w:pPr>
        <w:jc w:val="center"/>
        <w:rPr>
          <w:b/>
          <w:szCs w:val="24"/>
        </w:rPr>
      </w:pPr>
    </w:p>
    <w:p w14:paraId="5E45EAEE" w14:textId="6F788D7B" w:rsidR="008F4B3E" w:rsidRPr="001920CE" w:rsidRDefault="008F4B3E" w:rsidP="00EE1BBF">
      <w:pPr>
        <w:jc w:val="center"/>
        <w:rPr>
          <w:b/>
          <w:szCs w:val="24"/>
        </w:rPr>
      </w:pPr>
      <w:r w:rsidRPr="001920CE">
        <w:rPr>
          <w:b/>
          <w:szCs w:val="24"/>
        </w:rPr>
        <w:t xml:space="preserve">Článek </w:t>
      </w:r>
      <w:r w:rsidR="00810340">
        <w:rPr>
          <w:b/>
          <w:szCs w:val="24"/>
        </w:rPr>
        <w:t>2</w:t>
      </w:r>
    </w:p>
    <w:p w14:paraId="3B529B21" w14:textId="77777777" w:rsidR="008F4B3E" w:rsidRPr="001920CE" w:rsidRDefault="008F4B3E" w:rsidP="00EE1BBF">
      <w:pPr>
        <w:jc w:val="center"/>
        <w:rPr>
          <w:b/>
          <w:szCs w:val="24"/>
        </w:rPr>
      </w:pPr>
      <w:r>
        <w:rPr>
          <w:b/>
          <w:szCs w:val="24"/>
        </w:rPr>
        <w:t>Místa</w:t>
      </w:r>
    </w:p>
    <w:p w14:paraId="6B1625B1" w14:textId="77777777" w:rsidR="008F4B3E" w:rsidRPr="001920CE" w:rsidRDefault="008F4B3E" w:rsidP="00EE1BBF">
      <w:pPr>
        <w:jc w:val="both"/>
        <w:rPr>
          <w:szCs w:val="24"/>
        </w:rPr>
      </w:pPr>
    </w:p>
    <w:p w14:paraId="4BB0D5EF" w14:textId="77777777" w:rsidR="008F4B3E" w:rsidRDefault="004D6A91" w:rsidP="00EE1BBF">
      <w:pPr>
        <w:jc w:val="both"/>
        <w:rPr>
          <w:szCs w:val="24"/>
        </w:rPr>
      </w:pPr>
      <w:r>
        <w:rPr>
          <w:szCs w:val="24"/>
        </w:rPr>
        <w:t xml:space="preserve">1. </w:t>
      </w:r>
      <w:r w:rsidR="008F4B3E">
        <w:rPr>
          <w:szCs w:val="24"/>
        </w:rPr>
        <w:t xml:space="preserve">Provozování </w:t>
      </w:r>
      <w:r w:rsidR="004523BC">
        <w:rPr>
          <w:szCs w:val="24"/>
        </w:rPr>
        <w:t>loterií</w:t>
      </w:r>
      <w:r w:rsidR="008F4B3E">
        <w:rPr>
          <w:szCs w:val="24"/>
        </w:rPr>
        <w:t xml:space="preserve"> podle § 2 písm. e), g), i), </w:t>
      </w:r>
      <w:r w:rsidR="004523BC">
        <w:rPr>
          <w:szCs w:val="24"/>
        </w:rPr>
        <w:t xml:space="preserve">j), </w:t>
      </w:r>
      <w:r w:rsidR="008F4B3E">
        <w:rPr>
          <w:szCs w:val="24"/>
        </w:rPr>
        <w:t>l), m) a n</w:t>
      </w:r>
      <w:r w:rsidR="00F70208">
        <w:rPr>
          <w:szCs w:val="24"/>
        </w:rPr>
        <w:t xml:space="preserve">) </w:t>
      </w:r>
      <w:r w:rsidR="004523BC">
        <w:rPr>
          <w:szCs w:val="24"/>
        </w:rPr>
        <w:t>a</w:t>
      </w:r>
      <w:r w:rsidR="008F4B3E">
        <w:rPr>
          <w:szCs w:val="24"/>
        </w:rPr>
        <w:t xml:space="preserve"> podle § 50 odst. 3 zákona o loteriích je povoleno pouze na </w:t>
      </w:r>
      <w:r w:rsidR="007F7C97">
        <w:rPr>
          <w:szCs w:val="24"/>
        </w:rPr>
        <w:t>adresách</w:t>
      </w:r>
      <w:r w:rsidR="008F4B3E">
        <w:rPr>
          <w:szCs w:val="24"/>
        </w:rPr>
        <w:t xml:space="preserve"> uvedených v příloze této vyhlášky.</w:t>
      </w:r>
    </w:p>
    <w:p w14:paraId="460BE82C" w14:textId="77777777" w:rsidR="008F4B3E" w:rsidRDefault="008F4B3E" w:rsidP="00EE1BBF">
      <w:pPr>
        <w:rPr>
          <w:szCs w:val="24"/>
        </w:rPr>
      </w:pPr>
    </w:p>
    <w:p w14:paraId="51D6B0E8" w14:textId="0613FDE8" w:rsidR="008F4B3E" w:rsidRPr="001920CE" w:rsidRDefault="008F4B3E" w:rsidP="00EE1BB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Č</w:t>
      </w:r>
      <w:r w:rsidRPr="001920CE">
        <w:rPr>
          <w:b/>
          <w:szCs w:val="24"/>
        </w:rPr>
        <w:t xml:space="preserve">lánek </w:t>
      </w:r>
      <w:r w:rsidR="00810340">
        <w:rPr>
          <w:b/>
          <w:szCs w:val="24"/>
        </w:rPr>
        <w:t>3</w:t>
      </w:r>
    </w:p>
    <w:p w14:paraId="344D94B7" w14:textId="77777777" w:rsidR="008F4B3E" w:rsidRPr="001920CE" w:rsidRDefault="008F4B3E" w:rsidP="00EE1BBF">
      <w:pPr>
        <w:jc w:val="center"/>
        <w:rPr>
          <w:b/>
          <w:szCs w:val="24"/>
        </w:rPr>
      </w:pPr>
      <w:r w:rsidRPr="001920CE">
        <w:rPr>
          <w:b/>
          <w:szCs w:val="24"/>
        </w:rPr>
        <w:t>Zrušovací ustanovení</w:t>
      </w:r>
    </w:p>
    <w:p w14:paraId="1F4F018E" w14:textId="77777777" w:rsidR="008F4B3E" w:rsidRPr="001920CE" w:rsidRDefault="008F4B3E" w:rsidP="00EE1BBF">
      <w:pPr>
        <w:rPr>
          <w:szCs w:val="24"/>
        </w:rPr>
      </w:pPr>
    </w:p>
    <w:p w14:paraId="34FB6C98" w14:textId="4F282307" w:rsidR="008F4B3E" w:rsidRDefault="008F4B3E" w:rsidP="00EE1BBF">
      <w:pPr>
        <w:jc w:val="both"/>
        <w:rPr>
          <w:szCs w:val="24"/>
        </w:rPr>
      </w:pPr>
      <w:r>
        <w:rPr>
          <w:szCs w:val="24"/>
        </w:rPr>
        <w:t>Zrušuje se</w:t>
      </w:r>
      <w:r w:rsidRPr="001920CE">
        <w:rPr>
          <w:szCs w:val="24"/>
        </w:rPr>
        <w:t xml:space="preserve"> obecně závazn</w:t>
      </w:r>
      <w:r>
        <w:rPr>
          <w:szCs w:val="24"/>
        </w:rPr>
        <w:t>á</w:t>
      </w:r>
      <w:r w:rsidRPr="001920CE">
        <w:rPr>
          <w:szCs w:val="24"/>
        </w:rPr>
        <w:t xml:space="preserve"> vyhlášk</w:t>
      </w:r>
      <w:r>
        <w:rPr>
          <w:szCs w:val="24"/>
        </w:rPr>
        <w:t xml:space="preserve">a č. </w:t>
      </w:r>
      <w:r w:rsidR="00641921">
        <w:rPr>
          <w:szCs w:val="24"/>
        </w:rPr>
        <w:t>7</w:t>
      </w:r>
      <w:r w:rsidR="00EE0D83">
        <w:rPr>
          <w:szCs w:val="24"/>
        </w:rPr>
        <w:t>/201</w:t>
      </w:r>
      <w:r w:rsidR="00641921">
        <w:rPr>
          <w:szCs w:val="24"/>
        </w:rPr>
        <w:t>5</w:t>
      </w:r>
      <w:r w:rsidRPr="001920CE">
        <w:rPr>
          <w:szCs w:val="24"/>
        </w:rPr>
        <w:t xml:space="preserve">, </w:t>
      </w:r>
      <w:r>
        <w:rPr>
          <w:szCs w:val="24"/>
        </w:rPr>
        <w:t>o regulaci provo</w:t>
      </w:r>
      <w:r w:rsidR="00F70208">
        <w:rPr>
          <w:szCs w:val="24"/>
        </w:rPr>
        <w:t>zování sázkových her, loterií a </w:t>
      </w:r>
      <w:r>
        <w:rPr>
          <w:szCs w:val="24"/>
        </w:rPr>
        <w:t xml:space="preserve">jiných podobných her ze dne </w:t>
      </w:r>
      <w:proofErr w:type="gramStart"/>
      <w:r w:rsidR="00E538F0">
        <w:rPr>
          <w:szCs w:val="24"/>
        </w:rPr>
        <w:t>2</w:t>
      </w:r>
      <w:r w:rsidR="00641921">
        <w:rPr>
          <w:szCs w:val="24"/>
        </w:rPr>
        <w:t>4</w:t>
      </w:r>
      <w:r w:rsidR="00E538F0">
        <w:rPr>
          <w:szCs w:val="24"/>
        </w:rPr>
        <w:t>.0</w:t>
      </w:r>
      <w:r w:rsidR="00641921">
        <w:rPr>
          <w:szCs w:val="24"/>
        </w:rPr>
        <w:t>9</w:t>
      </w:r>
      <w:r w:rsidR="00E538F0">
        <w:rPr>
          <w:szCs w:val="24"/>
        </w:rPr>
        <w:t>.201</w:t>
      </w:r>
      <w:r w:rsidR="00641921">
        <w:rPr>
          <w:szCs w:val="24"/>
        </w:rPr>
        <w:t>5</w:t>
      </w:r>
      <w:proofErr w:type="gramEnd"/>
      <w:r>
        <w:rPr>
          <w:szCs w:val="24"/>
        </w:rPr>
        <w:t>.</w:t>
      </w:r>
    </w:p>
    <w:p w14:paraId="2C81CC0D" w14:textId="77777777" w:rsidR="008F4B3E" w:rsidRPr="001920CE" w:rsidRDefault="008F4B3E" w:rsidP="00EE1BBF">
      <w:pPr>
        <w:jc w:val="center"/>
        <w:rPr>
          <w:b/>
          <w:szCs w:val="24"/>
        </w:rPr>
      </w:pPr>
    </w:p>
    <w:p w14:paraId="0A7DD77B" w14:textId="48006D7F" w:rsidR="008F4B3E" w:rsidRPr="001920CE" w:rsidRDefault="008F4B3E" w:rsidP="00EE1BBF">
      <w:pPr>
        <w:jc w:val="center"/>
        <w:rPr>
          <w:b/>
          <w:szCs w:val="24"/>
        </w:rPr>
      </w:pPr>
      <w:r w:rsidRPr="001920CE">
        <w:rPr>
          <w:b/>
          <w:szCs w:val="24"/>
        </w:rPr>
        <w:t xml:space="preserve">Článek </w:t>
      </w:r>
      <w:r w:rsidR="00810340">
        <w:rPr>
          <w:b/>
          <w:szCs w:val="24"/>
        </w:rPr>
        <w:t>4</w:t>
      </w:r>
    </w:p>
    <w:p w14:paraId="18C04B79" w14:textId="77777777" w:rsidR="008F4B3E" w:rsidRPr="001920CE" w:rsidRDefault="008F4B3E" w:rsidP="00EE1BBF">
      <w:pPr>
        <w:jc w:val="center"/>
        <w:rPr>
          <w:b/>
          <w:szCs w:val="24"/>
        </w:rPr>
      </w:pPr>
      <w:r w:rsidRPr="001920CE">
        <w:rPr>
          <w:b/>
          <w:szCs w:val="24"/>
        </w:rPr>
        <w:t>Účinnost</w:t>
      </w:r>
    </w:p>
    <w:p w14:paraId="241C26DE" w14:textId="77777777" w:rsidR="008F4B3E" w:rsidRPr="001920CE" w:rsidRDefault="008F4B3E" w:rsidP="00EE1BBF">
      <w:pPr>
        <w:rPr>
          <w:szCs w:val="24"/>
        </w:rPr>
      </w:pPr>
    </w:p>
    <w:p w14:paraId="670BD82E" w14:textId="0F5CF77E" w:rsidR="008F4B3E" w:rsidRPr="006E09BA" w:rsidRDefault="00F90135" w:rsidP="00EE1BBF">
      <w:pPr>
        <w:rPr>
          <w:szCs w:val="24"/>
        </w:rPr>
      </w:pPr>
      <w:r w:rsidRPr="006E09BA">
        <w:rPr>
          <w:szCs w:val="24"/>
        </w:rPr>
        <w:t xml:space="preserve">Tato vyhláška nabývá účinnosti z důvodu naléhavého obecného zájmu dnem </w:t>
      </w:r>
      <w:proofErr w:type="gramStart"/>
      <w:r w:rsidRPr="006E09BA">
        <w:rPr>
          <w:szCs w:val="24"/>
        </w:rPr>
        <w:t>01.01.2016</w:t>
      </w:r>
      <w:proofErr w:type="gramEnd"/>
      <w:r w:rsidRPr="006E09BA">
        <w:rPr>
          <w:szCs w:val="24"/>
        </w:rPr>
        <w:t>.</w:t>
      </w:r>
    </w:p>
    <w:p w14:paraId="4C714C21" w14:textId="77777777" w:rsidR="008F4B3E" w:rsidRDefault="008F4B3E" w:rsidP="00EE1BBF">
      <w:pPr>
        <w:rPr>
          <w:szCs w:val="24"/>
        </w:rPr>
      </w:pPr>
    </w:p>
    <w:p w14:paraId="31826BA6" w14:textId="77777777" w:rsidR="008F4B3E" w:rsidRDefault="008F4B3E" w:rsidP="00EE1BBF">
      <w:pPr>
        <w:rPr>
          <w:szCs w:val="24"/>
        </w:rPr>
      </w:pPr>
    </w:p>
    <w:p w14:paraId="73689B17" w14:textId="77777777" w:rsidR="008F4B3E" w:rsidRDefault="008F4B3E" w:rsidP="00EE1BBF">
      <w:pPr>
        <w:rPr>
          <w:szCs w:val="24"/>
        </w:rPr>
      </w:pPr>
    </w:p>
    <w:p w14:paraId="0F12AEC1" w14:textId="77777777" w:rsidR="008F4B3E" w:rsidRDefault="008F4B3E" w:rsidP="00EE1BBF">
      <w:pPr>
        <w:rPr>
          <w:szCs w:val="24"/>
        </w:rPr>
      </w:pPr>
    </w:p>
    <w:p w14:paraId="5AC6DD15" w14:textId="77777777" w:rsidR="008F4B3E" w:rsidRPr="00F70208" w:rsidRDefault="008F4B3E" w:rsidP="00EE1BBF">
      <w:pPr>
        <w:rPr>
          <w:szCs w:val="24"/>
        </w:rPr>
      </w:pPr>
    </w:p>
    <w:p w14:paraId="1A1C4699" w14:textId="77777777" w:rsidR="00F70208" w:rsidRPr="00F70208" w:rsidRDefault="00F70208" w:rsidP="00F7020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208" w:rsidRPr="00F70208" w14:paraId="37DEB871" w14:textId="77777777" w:rsidTr="004D6A91">
        <w:tc>
          <w:tcPr>
            <w:tcW w:w="3070" w:type="dxa"/>
          </w:tcPr>
          <w:p w14:paraId="49CD1880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hAnsi="Times New Roman"/>
                <w:sz w:val="22"/>
                <w:szCs w:val="22"/>
              </w:rPr>
              <w:t>..........................................</w:t>
            </w:r>
          </w:p>
        </w:tc>
        <w:tc>
          <w:tcPr>
            <w:tcW w:w="3070" w:type="dxa"/>
          </w:tcPr>
          <w:p w14:paraId="5C31B3D3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hAnsi="Times New Roman"/>
                <w:sz w:val="22"/>
                <w:szCs w:val="22"/>
              </w:rPr>
              <w:t>..........................................</w:t>
            </w:r>
          </w:p>
        </w:tc>
        <w:tc>
          <w:tcPr>
            <w:tcW w:w="3070" w:type="dxa"/>
          </w:tcPr>
          <w:p w14:paraId="79CC90DF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hAnsi="Times New Roman"/>
                <w:sz w:val="22"/>
                <w:szCs w:val="22"/>
              </w:rPr>
              <w:t>..........................................</w:t>
            </w:r>
          </w:p>
        </w:tc>
      </w:tr>
      <w:tr w:rsidR="00F70208" w:rsidRPr="00F70208" w14:paraId="42EF0303" w14:textId="77777777" w:rsidTr="004D6A91">
        <w:tc>
          <w:tcPr>
            <w:tcW w:w="3070" w:type="dxa"/>
          </w:tcPr>
          <w:p w14:paraId="7656A396" w14:textId="45CAC5A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Oldřich Bubeníček</w:t>
            </w:r>
            <w:r w:rsidR="00E717EB">
              <w:rPr>
                <w:rFonts w:ascii="Times New Roman" w:eastAsia="MS Mincho" w:hAnsi="Times New Roman"/>
                <w:sz w:val="22"/>
                <w:szCs w:val="22"/>
              </w:rPr>
              <w:t xml:space="preserve"> v. r.</w:t>
            </w:r>
          </w:p>
          <w:p w14:paraId="74CE97D7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starosta</w:t>
            </w:r>
          </w:p>
        </w:tc>
        <w:tc>
          <w:tcPr>
            <w:tcW w:w="3070" w:type="dxa"/>
          </w:tcPr>
          <w:p w14:paraId="34A4181B" w14:textId="12F78E38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Mgr. Veronika Horová</w:t>
            </w:r>
            <w:r w:rsidR="00E717EB">
              <w:rPr>
                <w:rFonts w:ascii="Times New Roman" w:eastAsia="MS Mincho" w:hAnsi="Times New Roman"/>
                <w:sz w:val="22"/>
                <w:szCs w:val="22"/>
              </w:rPr>
              <w:t xml:space="preserve"> v. r.</w:t>
            </w:r>
          </w:p>
          <w:p w14:paraId="163D872C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1. místostarostka</w:t>
            </w:r>
          </w:p>
        </w:tc>
        <w:tc>
          <w:tcPr>
            <w:tcW w:w="3070" w:type="dxa"/>
          </w:tcPr>
          <w:p w14:paraId="517761C6" w14:textId="1476D23C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Mgr. Zuzana Bařtipánová</w:t>
            </w:r>
            <w:r w:rsidR="00E717EB">
              <w:rPr>
                <w:rFonts w:ascii="Times New Roman" w:eastAsia="MS Mincho" w:hAnsi="Times New Roman"/>
                <w:sz w:val="22"/>
                <w:szCs w:val="22"/>
              </w:rPr>
              <w:t xml:space="preserve"> v. r.</w:t>
            </w:r>
          </w:p>
          <w:p w14:paraId="6BEECB02" w14:textId="77777777" w:rsidR="00F70208" w:rsidRPr="00F70208" w:rsidRDefault="00F70208" w:rsidP="004D6A91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70208">
              <w:rPr>
                <w:rFonts w:ascii="Times New Roman" w:eastAsia="MS Mincho" w:hAnsi="Times New Roman"/>
                <w:sz w:val="22"/>
                <w:szCs w:val="22"/>
              </w:rPr>
              <w:t>2. místostarostka</w:t>
            </w:r>
          </w:p>
        </w:tc>
      </w:tr>
    </w:tbl>
    <w:p w14:paraId="66536A85" w14:textId="77777777" w:rsidR="00F70208" w:rsidRPr="00F70208" w:rsidRDefault="00F70208" w:rsidP="00F702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sz w:val="22"/>
          <w:szCs w:val="22"/>
        </w:rPr>
      </w:pPr>
    </w:p>
    <w:p w14:paraId="292A67C1" w14:textId="77777777" w:rsidR="00F70208" w:rsidRDefault="00F70208" w:rsidP="00F70208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5ADB1F1E" w14:textId="77777777" w:rsidR="00F70208" w:rsidRDefault="00F70208" w:rsidP="00F70208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14:paraId="2345B118" w14:textId="77777777" w:rsidR="008F4B3E" w:rsidRDefault="008F4B3E" w:rsidP="00EE1BBF"/>
    <w:p w14:paraId="43A7AE79" w14:textId="77777777" w:rsidR="00F70208" w:rsidRDefault="00F70208" w:rsidP="00EE1BBF"/>
    <w:p w14:paraId="12DD401C" w14:textId="77777777" w:rsidR="00F70208" w:rsidRDefault="00F70208" w:rsidP="00EE1BBF"/>
    <w:p w14:paraId="4CF13814" w14:textId="77777777" w:rsidR="00F002F1" w:rsidRDefault="00F002F1" w:rsidP="00EE1BBF">
      <w:pPr>
        <w:rPr>
          <w:szCs w:val="24"/>
        </w:rPr>
      </w:pPr>
    </w:p>
    <w:p w14:paraId="5D014329" w14:textId="37529AA3" w:rsidR="008F4B3E" w:rsidRPr="001920CE" w:rsidRDefault="008F4B3E" w:rsidP="00EE1BBF">
      <w:pPr>
        <w:rPr>
          <w:szCs w:val="24"/>
        </w:rPr>
      </w:pPr>
      <w:r w:rsidRPr="001920CE">
        <w:rPr>
          <w:szCs w:val="24"/>
        </w:rPr>
        <w:t>Vyvěšeno na úřední desce dne:</w:t>
      </w:r>
      <w:r w:rsidR="008E5D8A">
        <w:rPr>
          <w:szCs w:val="24"/>
        </w:rPr>
        <w:t xml:space="preserve"> </w:t>
      </w:r>
      <w:r w:rsidR="008E5D8A">
        <w:rPr>
          <w:szCs w:val="24"/>
        </w:rPr>
        <w:tab/>
      </w:r>
      <w:proofErr w:type="gramStart"/>
      <w:r w:rsidR="00E717EB">
        <w:rPr>
          <w:szCs w:val="24"/>
        </w:rPr>
        <w:t>28.12.2015</w:t>
      </w:r>
      <w:proofErr w:type="gramEnd"/>
    </w:p>
    <w:p w14:paraId="147A6B51" w14:textId="77777777" w:rsidR="008F4B3E" w:rsidRDefault="008F4B3E" w:rsidP="00EE1BBF">
      <w:pPr>
        <w:rPr>
          <w:szCs w:val="24"/>
        </w:rPr>
      </w:pPr>
    </w:p>
    <w:p w14:paraId="3773B9B9" w14:textId="73654532" w:rsidR="008F4B3E" w:rsidRDefault="008F4B3E" w:rsidP="00EE1BBF">
      <w:pPr>
        <w:rPr>
          <w:szCs w:val="24"/>
        </w:rPr>
      </w:pPr>
      <w:r w:rsidRPr="001920CE">
        <w:rPr>
          <w:szCs w:val="24"/>
        </w:rPr>
        <w:t>Sejmuto z úřední desky dne:</w:t>
      </w:r>
      <w:r w:rsidR="008E5D8A">
        <w:rPr>
          <w:szCs w:val="24"/>
        </w:rPr>
        <w:tab/>
      </w:r>
      <w:r w:rsidR="008E5D8A">
        <w:rPr>
          <w:szCs w:val="24"/>
        </w:rPr>
        <w:tab/>
      </w:r>
      <w:proofErr w:type="gramStart"/>
      <w:r w:rsidR="005541F5">
        <w:rPr>
          <w:szCs w:val="24"/>
        </w:rPr>
        <w:t>12.01.2016</w:t>
      </w:r>
      <w:proofErr w:type="gramEnd"/>
    </w:p>
    <w:p w14:paraId="6DA8C9FE" w14:textId="03807EFF" w:rsidR="008F4B3E" w:rsidRPr="00E06D41" w:rsidRDefault="008F4B3E" w:rsidP="00EE1BBF">
      <w:pPr>
        <w:jc w:val="both"/>
        <w:rPr>
          <w:b/>
          <w:szCs w:val="24"/>
        </w:rPr>
      </w:pPr>
      <w:bookmarkStart w:id="0" w:name="_GoBack"/>
      <w:bookmarkEnd w:id="0"/>
      <w:r>
        <w:rPr>
          <w:szCs w:val="24"/>
        </w:rPr>
        <w:br w:type="page"/>
      </w:r>
      <w:r w:rsidRPr="00E06D41">
        <w:rPr>
          <w:b/>
          <w:szCs w:val="24"/>
        </w:rPr>
        <w:lastRenderedPageBreak/>
        <w:t xml:space="preserve">Příloha obecně závazné vyhlášky č. </w:t>
      </w:r>
      <w:r w:rsidR="00313C87" w:rsidRPr="00313C87">
        <w:rPr>
          <w:b/>
          <w:szCs w:val="24"/>
        </w:rPr>
        <w:t>10/2015</w:t>
      </w:r>
      <w:r w:rsidRPr="00E06D41">
        <w:rPr>
          <w:b/>
          <w:szCs w:val="24"/>
        </w:rPr>
        <w:t>, o regulaci provozování</w:t>
      </w:r>
      <w:r w:rsidR="006A5707">
        <w:rPr>
          <w:b/>
          <w:szCs w:val="24"/>
        </w:rPr>
        <w:t xml:space="preserve"> sázkových her,</w:t>
      </w:r>
      <w:r w:rsidRPr="00E06D41">
        <w:rPr>
          <w:b/>
          <w:szCs w:val="24"/>
        </w:rPr>
        <w:t xml:space="preserve"> loterií a jiných podobných her</w:t>
      </w:r>
    </w:p>
    <w:p w14:paraId="7F5A02AA" w14:textId="77777777" w:rsidR="008F4B3E" w:rsidRDefault="008F4B3E" w:rsidP="00EE1BBF">
      <w:pPr>
        <w:rPr>
          <w:szCs w:val="24"/>
        </w:rPr>
      </w:pPr>
    </w:p>
    <w:p w14:paraId="3B253B74" w14:textId="5B10109B" w:rsidR="008F4B3E" w:rsidRPr="00DF21B1" w:rsidRDefault="008F4B3E" w:rsidP="00EE1BBF">
      <w:pPr>
        <w:pStyle w:val="Nadpis4"/>
        <w:jc w:val="both"/>
        <w:rPr>
          <w:u w:val="single"/>
        </w:rPr>
      </w:pPr>
      <w:r w:rsidRPr="00DF21B1">
        <w:rPr>
          <w:i/>
          <w:iCs/>
          <w:sz w:val="24"/>
          <w:szCs w:val="24"/>
          <w:u w:val="single"/>
        </w:rPr>
        <w:t xml:space="preserve">Seznam míst dle článku </w:t>
      </w:r>
      <w:r w:rsidR="002D1B89">
        <w:rPr>
          <w:i/>
          <w:iCs/>
          <w:sz w:val="24"/>
          <w:szCs w:val="24"/>
          <w:u w:val="single"/>
        </w:rPr>
        <w:t>2</w:t>
      </w:r>
      <w:r w:rsidR="002D1B89" w:rsidRPr="00DF21B1">
        <w:rPr>
          <w:i/>
          <w:iCs/>
          <w:sz w:val="24"/>
          <w:szCs w:val="24"/>
          <w:u w:val="single"/>
        </w:rPr>
        <w:t xml:space="preserve"> </w:t>
      </w:r>
      <w:r w:rsidRPr="00DF21B1">
        <w:rPr>
          <w:i/>
          <w:iCs/>
          <w:sz w:val="24"/>
          <w:szCs w:val="24"/>
          <w:u w:val="single"/>
        </w:rPr>
        <w:t>vyhlášky:</w:t>
      </w:r>
    </w:p>
    <w:p w14:paraId="1E66A92F" w14:textId="77777777" w:rsidR="008F4B3E" w:rsidRDefault="008F4B3E" w:rsidP="00EE1BBF">
      <w:pPr>
        <w:jc w:val="both"/>
      </w:pPr>
      <w:r>
        <w:rPr>
          <w:b/>
          <w:bCs/>
        </w:rPr>
        <w:t> </w:t>
      </w:r>
    </w:p>
    <w:p w14:paraId="637533F5" w14:textId="77777777" w:rsidR="008F4B3E" w:rsidRDefault="008F4B3E" w:rsidP="00EE1BBF">
      <w:pPr>
        <w:pStyle w:val="Zkladntext"/>
        <w:numPr>
          <w:ilvl w:val="0"/>
          <w:numId w:val="1"/>
        </w:numPr>
      </w:pPr>
      <w:r>
        <w:t>ul. Želivského, č. p. 67/6;</w:t>
      </w:r>
    </w:p>
    <w:p w14:paraId="22572D93" w14:textId="77777777" w:rsidR="008F4B3E" w:rsidRDefault="008F4B3E" w:rsidP="00EE1BBF">
      <w:pPr>
        <w:pStyle w:val="Zkladntext"/>
        <w:numPr>
          <w:ilvl w:val="0"/>
          <w:numId w:val="1"/>
        </w:numPr>
      </w:pPr>
      <w:r>
        <w:t>ul. Sídliště Za Chlumem, č. p. 896;</w:t>
      </w:r>
    </w:p>
    <w:p w14:paraId="057C25A4" w14:textId="77777777" w:rsidR="008F4B3E" w:rsidRDefault="008F4B3E" w:rsidP="00EE1BBF">
      <w:pPr>
        <w:pStyle w:val="Zkladntext"/>
        <w:numPr>
          <w:ilvl w:val="0"/>
          <w:numId w:val="1"/>
        </w:numPr>
      </w:pPr>
      <w:r>
        <w:t>ul.</w:t>
      </w:r>
      <w:r w:rsidR="006A5707">
        <w:t xml:space="preserve"> Sídliště Za Chlumem, č. p. 821</w:t>
      </w:r>
      <w:r w:rsidR="00410B0B">
        <w:t>;</w:t>
      </w:r>
    </w:p>
    <w:p w14:paraId="06BCB1C4" w14:textId="77777777" w:rsidR="00605B7D" w:rsidRDefault="00634916" w:rsidP="00EE1BBF">
      <w:pPr>
        <w:pStyle w:val="Zkladntext"/>
        <w:numPr>
          <w:ilvl w:val="0"/>
          <w:numId w:val="1"/>
        </w:numPr>
      </w:pPr>
      <w:r>
        <w:t>ul. Wolkerova, č. p. 75/5.</w:t>
      </w:r>
    </w:p>
    <w:p w14:paraId="0FFC4DA0" w14:textId="77777777" w:rsidR="00605B7D" w:rsidRDefault="00605B7D">
      <w:pPr>
        <w:widowControl/>
        <w:rPr>
          <w:szCs w:val="24"/>
        </w:rPr>
      </w:pPr>
    </w:p>
    <w:sectPr w:rsidR="00605B7D" w:rsidSect="00DF1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47D8" w14:textId="77777777" w:rsidR="00813BED" w:rsidRDefault="00813BED" w:rsidP="00E93686">
      <w:r>
        <w:separator/>
      </w:r>
    </w:p>
  </w:endnote>
  <w:endnote w:type="continuationSeparator" w:id="0">
    <w:p w14:paraId="63DF7ADC" w14:textId="77777777" w:rsidR="00813BED" w:rsidRDefault="00813BED" w:rsidP="00E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B72F" w14:textId="77777777" w:rsidR="00625A64" w:rsidRDefault="00625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DCE49" w14:textId="77777777" w:rsidR="00625A64" w:rsidRDefault="00625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98B94" w14:textId="77777777" w:rsidR="00625A64" w:rsidRDefault="00625A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C1CF9" w14:textId="77777777" w:rsidR="00813BED" w:rsidRDefault="00813BED" w:rsidP="00E93686">
      <w:r>
        <w:separator/>
      </w:r>
    </w:p>
  </w:footnote>
  <w:footnote w:type="continuationSeparator" w:id="0">
    <w:p w14:paraId="5C5D7559" w14:textId="77777777" w:rsidR="00813BED" w:rsidRDefault="00813BED" w:rsidP="00E9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CADB" w14:textId="77777777" w:rsidR="00625A64" w:rsidRDefault="00625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9F6E7" w14:textId="77777777" w:rsidR="00625A64" w:rsidRDefault="00625A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1F9CB" w14:textId="73CD23EA" w:rsidR="004D6A91" w:rsidRDefault="004D6A91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9F7"/>
    <w:multiLevelType w:val="hybridMultilevel"/>
    <w:tmpl w:val="C8C239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8AD"/>
    <w:multiLevelType w:val="hybridMultilevel"/>
    <w:tmpl w:val="92FAE992"/>
    <w:lvl w:ilvl="0" w:tplc="8A58B3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762AF8"/>
    <w:multiLevelType w:val="hybridMultilevel"/>
    <w:tmpl w:val="3D02DAFA"/>
    <w:lvl w:ilvl="0" w:tplc="361648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1651"/>
    <w:multiLevelType w:val="hybridMultilevel"/>
    <w:tmpl w:val="1A884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432BD"/>
    <w:multiLevelType w:val="hybridMultilevel"/>
    <w:tmpl w:val="8F263D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BF"/>
    <w:rsid w:val="00017CC3"/>
    <w:rsid w:val="000343D4"/>
    <w:rsid w:val="00051C24"/>
    <w:rsid w:val="00094548"/>
    <w:rsid w:val="00096971"/>
    <w:rsid w:val="000D1390"/>
    <w:rsid w:val="000E0F3B"/>
    <w:rsid w:val="000E72E7"/>
    <w:rsid w:val="0010020C"/>
    <w:rsid w:val="00127D79"/>
    <w:rsid w:val="00142B8D"/>
    <w:rsid w:val="00152300"/>
    <w:rsid w:val="00153871"/>
    <w:rsid w:val="00177DFD"/>
    <w:rsid w:val="001920CE"/>
    <w:rsid w:val="001B019D"/>
    <w:rsid w:val="001C1057"/>
    <w:rsid w:val="001C7D14"/>
    <w:rsid w:val="00213582"/>
    <w:rsid w:val="00254AAB"/>
    <w:rsid w:val="00280E6D"/>
    <w:rsid w:val="00281544"/>
    <w:rsid w:val="002D036D"/>
    <w:rsid w:val="002D1B89"/>
    <w:rsid w:val="002D29A5"/>
    <w:rsid w:val="002E62ED"/>
    <w:rsid w:val="00313C87"/>
    <w:rsid w:val="00316BAB"/>
    <w:rsid w:val="003213F0"/>
    <w:rsid w:val="003266E5"/>
    <w:rsid w:val="00341687"/>
    <w:rsid w:val="00370F2A"/>
    <w:rsid w:val="00371568"/>
    <w:rsid w:val="00372AED"/>
    <w:rsid w:val="0038059C"/>
    <w:rsid w:val="00380C75"/>
    <w:rsid w:val="003A3813"/>
    <w:rsid w:val="003C712B"/>
    <w:rsid w:val="00410B0B"/>
    <w:rsid w:val="00451793"/>
    <w:rsid w:val="004523BC"/>
    <w:rsid w:val="004524D9"/>
    <w:rsid w:val="00457330"/>
    <w:rsid w:val="0045787B"/>
    <w:rsid w:val="00461767"/>
    <w:rsid w:val="00463233"/>
    <w:rsid w:val="004734CC"/>
    <w:rsid w:val="00476E01"/>
    <w:rsid w:val="00494222"/>
    <w:rsid w:val="004973BA"/>
    <w:rsid w:val="004B75C5"/>
    <w:rsid w:val="004C6A3E"/>
    <w:rsid w:val="004D6A91"/>
    <w:rsid w:val="004E5413"/>
    <w:rsid w:val="00526B3F"/>
    <w:rsid w:val="00540922"/>
    <w:rsid w:val="005541F5"/>
    <w:rsid w:val="005567BF"/>
    <w:rsid w:val="00572C89"/>
    <w:rsid w:val="00587703"/>
    <w:rsid w:val="00597638"/>
    <w:rsid w:val="005A1678"/>
    <w:rsid w:val="006002F9"/>
    <w:rsid w:val="00605B7D"/>
    <w:rsid w:val="00625A64"/>
    <w:rsid w:val="00626BBD"/>
    <w:rsid w:val="00634916"/>
    <w:rsid w:val="00641921"/>
    <w:rsid w:val="00664BC9"/>
    <w:rsid w:val="006A4BE1"/>
    <w:rsid w:val="006A5707"/>
    <w:rsid w:val="006E09BA"/>
    <w:rsid w:val="006F2DA3"/>
    <w:rsid w:val="006F3737"/>
    <w:rsid w:val="007355CF"/>
    <w:rsid w:val="007414B0"/>
    <w:rsid w:val="00742C49"/>
    <w:rsid w:val="00795DA7"/>
    <w:rsid w:val="007F7C97"/>
    <w:rsid w:val="00810340"/>
    <w:rsid w:val="00813BED"/>
    <w:rsid w:val="00814665"/>
    <w:rsid w:val="00833EF2"/>
    <w:rsid w:val="00856AF5"/>
    <w:rsid w:val="00864E7D"/>
    <w:rsid w:val="00867533"/>
    <w:rsid w:val="00874FF4"/>
    <w:rsid w:val="008861F3"/>
    <w:rsid w:val="008B6377"/>
    <w:rsid w:val="008C0FF7"/>
    <w:rsid w:val="008D1BDA"/>
    <w:rsid w:val="008E521A"/>
    <w:rsid w:val="008E5D8A"/>
    <w:rsid w:val="008F029F"/>
    <w:rsid w:val="008F08E6"/>
    <w:rsid w:val="008F4B3E"/>
    <w:rsid w:val="008F5A0E"/>
    <w:rsid w:val="00907807"/>
    <w:rsid w:val="009238F7"/>
    <w:rsid w:val="00935E38"/>
    <w:rsid w:val="00941E98"/>
    <w:rsid w:val="0098100D"/>
    <w:rsid w:val="009C59A4"/>
    <w:rsid w:val="009D04D1"/>
    <w:rsid w:val="009E1131"/>
    <w:rsid w:val="009E32B9"/>
    <w:rsid w:val="00A01032"/>
    <w:rsid w:val="00A123E0"/>
    <w:rsid w:val="00A176A7"/>
    <w:rsid w:val="00A220C8"/>
    <w:rsid w:val="00A32F78"/>
    <w:rsid w:val="00AA45FD"/>
    <w:rsid w:val="00AB5EB4"/>
    <w:rsid w:val="00AC364E"/>
    <w:rsid w:val="00AF12FF"/>
    <w:rsid w:val="00AF18A1"/>
    <w:rsid w:val="00B03A6C"/>
    <w:rsid w:val="00B3195E"/>
    <w:rsid w:val="00B67EFC"/>
    <w:rsid w:val="00B76C80"/>
    <w:rsid w:val="00B82622"/>
    <w:rsid w:val="00B969D0"/>
    <w:rsid w:val="00BA176C"/>
    <w:rsid w:val="00BE6F4C"/>
    <w:rsid w:val="00BF663A"/>
    <w:rsid w:val="00C146D2"/>
    <w:rsid w:val="00C33BD5"/>
    <w:rsid w:val="00C47FF8"/>
    <w:rsid w:val="00C542AF"/>
    <w:rsid w:val="00C70F89"/>
    <w:rsid w:val="00CA7AC2"/>
    <w:rsid w:val="00CC3FE7"/>
    <w:rsid w:val="00CD10BE"/>
    <w:rsid w:val="00CD68CF"/>
    <w:rsid w:val="00CE3F51"/>
    <w:rsid w:val="00D01BBA"/>
    <w:rsid w:val="00D06BC3"/>
    <w:rsid w:val="00D537D0"/>
    <w:rsid w:val="00D657FE"/>
    <w:rsid w:val="00D77AF3"/>
    <w:rsid w:val="00D93786"/>
    <w:rsid w:val="00DB49E3"/>
    <w:rsid w:val="00DC1B9C"/>
    <w:rsid w:val="00DC4D25"/>
    <w:rsid w:val="00DD5FC6"/>
    <w:rsid w:val="00DE6F79"/>
    <w:rsid w:val="00DF1432"/>
    <w:rsid w:val="00DF21B1"/>
    <w:rsid w:val="00DF23E1"/>
    <w:rsid w:val="00E06D41"/>
    <w:rsid w:val="00E206CA"/>
    <w:rsid w:val="00E40975"/>
    <w:rsid w:val="00E538F0"/>
    <w:rsid w:val="00E717EB"/>
    <w:rsid w:val="00E811C2"/>
    <w:rsid w:val="00E870C6"/>
    <w:rsid w:val="00E921AF"/>
    <w:rsid w:val="00E932C7"/>
    <w:rsid w:val="00E93686"/>
    <w:rsid w:val="00EC428C"/>
    <w:rsid w:val="00EE0D83"/>
    <w:rsid w:val="00EE1BBF"/>
    <w:rsid w:val="00EE5A5B"/>
    <w:rsid w:val="00F002F1"/>
    <w:rsid w:val="00F0768F"/>
    <w:rsid w:val="00F21C74"/>
    <w:rsid w:val="00F50276"/>
    <w:rsid w:val="00F70208"/>
    <w:rsid w:val="00F737CB"/>
    <w:rsid w:val="00F83CB4"/>
    <w:rsid w:val="00F90135"/>
    <w:rsid w:val="00F91205"/>
    <w:rsid w:val="00FA2033"/>
    <w:rsid w:val="00FB6803"/>
    <w:rsid w:val="00FD154E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B60F0"/>
  <w15:docId w15:val="{F6C22429-5022-4E30-9488-FA16B5EF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BBF"/>
    <w:pPr>
      <w:widowControl w:val="0"/>
    </w:pPr>
    <w:rPr>
      <w:rFonts w:ascii="Times New Roman" w:hAnsi="Times New Roman"/>
      <w:sz w:val="24"/>
    </w:rPr>
  </w:style>
  <w:style w:type="paragraph" w:styleId="Nadpis4">
    <w:name w:val="heading 4"/>
    <w:basedOn w:val="Normln"/>
    <w:link w:val="Nadpis4Char"/>
    <w:qFormat/>
    <w:rsid w:val="00EE1BBF"/>
    <w:pPr>
      <w:keepNext/>
      <w:widowControl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locked/>
    <w:rsid w:val="00EE1BBF"/>
    <w:rPr>
      <w:rFonts w:ascii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EE1BBF"/>
    <w:pPr>
      <w:widowControl/>
      <w:autoSpaceDE w:val="0"/>
      <w:autoSpaceDN w:val="0"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locked/>
    <w:rsid w:val="00EE1BB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FB68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680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F70208"/>
    <w:pPr>
      <w:widowControl/>
    </w:pPr>
    <w:rPr>
      <w:rFonts w:ascii="Courier New" w:eastAsia="Times New Roman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70208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semiHidden/>
    <w:unhideWhenUsed/>
    <w:rsid w:val="00E936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93686"/>
    <w:rPr>
      <w:rFonts w:ascii="Times New Roman" w:hAnsi="Times New Roman"/>
    </w:rPr>
  </w:style>
  <w:style w:type="character" w:styleId="Znakapoznpodarou">
    <w:name w:val="footnote reference"/>
    <w:basedOn w:val="Standardnpsmoodstavce"/>
    <w:semiHidden/>
    <w:unhideWhenUsed/>
    <w:rsid w:val="00E93686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6419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1921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1921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419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41921"/>
    <w:rPr>
      <w:rFonts w:ascii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90780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F14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43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DF14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432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605B7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02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A34A9-60BE-4AD3-B835-5DF152D62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6C633-BF9D-4942-8002-D7DE096B4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60955-7B4E-474B-8760-741F81136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2C3FA-59DA-4F79-B41F-26703D9E79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761BE3-1B0B-4BB3-A75C-518587DB86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2F51E4-2AB2-4C71-B149-8852080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B Í L I N A</vt:lpstr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B Í L I N A</dc:title>
  <dc:creator>zahorova</dc:creator>
  <cp:lastModifiedBy>Kateřina Žofková</cp:lastModifiedBy>
  <cp:revision>3</cp:revision>
  <cp:lastPrinted>2015-12-28T08:23:00Z</cp:lastPrinted>
  <dcterms:created xsi:type="dcterms:W3CDTF">2015-12-28T07:51:00Z</dcterms:created>
  <dcterms:modified xsi:type="dcterms:W3CDTF">2015-12-28T08:23:00Z</dcterms:modified>
</cp:coreProperties>
</file>