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25D28">
        <w:rPr>
          <w:rFonts w:ascii="Arial" w:hAnsi="Arial" w:cs="Arial"/>
          <w:b/>
        </w:rPr>
        <w:t>Svobodné Heřmanice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25D28">
        <w:rPr>
          <w:rFonts w:ascii="Arial" w:hAnsi="Arial" w:cs="Arial"/>
          <w:b/>
        </w:rPr>
        <w:t xml:space="preserve">Svobodné Heřmanice </w:t>
      </w:r>
    </w:p>
    <w:p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25D28">
        <w:rPr>
          <w:rFonts w:ascii="Arial" w:hAnsi="Arial" w:cs="Arial"/>
          <w:b/>
        </w:rPr>
        <w:t xml:space="preserve"> Svobodné Heřmanice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B0E87">
        <w:rPr>
          <w:rFonts w:ascii="Arial" w:hAnsi="Arial" w:cs="Arial"/>
          <w:sz w:val="22"/>
          <w:szCs w:val="22"/>
        </w:rPr>
        <w:t>Svobodné Heřmanice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0C2D89" w:rsidRPr="000C2D89">
        <w:rPr>
          <w:rFonts w:ascii="Arial" w:hAnsi="Arial" w:cs="Arial"/>
          <w:sz w:val="22"/>
          <w:szCs w:val="22"/>
        </w:rPr>
        <w:t>29.4.2024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BB0E87">
        <w:rPr>
          <w:rFonts w:ascii="Arial" w:hAnsi="Arial" w:cs="Arial"/>
          <w:sz w:val="22"/>
          <w:szCs w:val="22"/>
        </w:rPr>
        <w:t xml:space="preserve">Svobodné Heřmanice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3B5859" w:rsidRDefault="00493955" w:rsidP="003B5859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3B5859" w:rsidRDefault="00893F98" w:rsidP="003B5859">
      <w:pPr>
        <w:spacing w:before="120" w:line="288" w:lineRule="auto"/>
        <w:ind w:left="567"/>
        <w:jc w:val="center"/>
        <w:rPr>
          <w:rFonts w:ascii="Arial" w:hAnsi="Arial" w:cs="Arial"/>
          <w:sz w:val="22"/>
          <w:szCs w:val="22"/>
        </w:rPr>
      </w:pPr>
      <w:r w:rsidRPr="003B5859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BB0E87">
        <w:rPr>
          <w:rFonts w:ascii="Arial" w:hAnsi="Arial" w:cs="Arial"/>
          <w:sz w:val="22"/>
          <w:szCs w:val="22"/>
        </w:rPr>
        <w:t>Svobodné Heřmanice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4035A7" w:rsidRDefault="00893F98" w:rsidP="00BB0E87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8A024A">
        <w:rPr>
          <w:rFonts w:ascii="Arial" w:hAnsi="Arial" w:cs="Arial"/>
          <w:sz w:val="22"/>
          <w:szCs w:val="22"/>
        </w:rPr>
        <w:t>15 dnů o</w:t>
      </w:r>
      <w:r w:rsidRPr="00392C27">
        <w:rPr>
          <w:rFonts w:ascii="Arial" w:hAnsi="Arial" w:cs="Arial"/>
          <w:sz w:val="22"/>
          <w:szCs w:val="22"/>
        </w:rPr>
        <w:t xml:space="preserve">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:rsidR="00575213" w:rsidRDefault="00893F98" w:rsidP="003B5859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7112E" w:rsidRPr="003B5859" w:rsidRDefault="00D7112E" w:rsidP="00D7112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964B2" w:rsidRPr="003B5859" w:rsidRDefault="000760A8" w:rsidP="003B5859">
      <w:pPr>
        <w:pStyle w:val="slalnk"/>
        <w:spacing w:before="0" w:after="0"/>
        <w:rPr>
          <w:rFonts w:ascii="Arial" w:hAnsi="Arial" w:cs="Arial"/>
          <w:b w:val="0"/>
          <w:szCs w:val="24"/>
        </w:rPr>
      </w:pPr>
      <w:r w:rsidRPr="003B5859">
        <w:rPr>
          <w:rFonts w:ascii="Arial" w:hAnsi="Arial" w:cs="Arial"/>
          <w:b w:val="0"/>
          <w:szCs w:val="24"/>
        </w:rPr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3B5859" w:rsidRDefault="00893F98" w:rsidP="003B585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BB0E87">
        <w:rPr>
          <w:rFonts w:ascii="Arial" w:hAnsi="Arial" w:cs="Arial"/>
          <w:sz w:val="22"/>
          <w:szCs w:val="22"/>
        </w:rPr>
        <w:t>15,--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8D0936" w:rsidRPr="003B5859" w:rsidRDefault="00C25898" w:rsidP="003B5859">
      <w:pPr>
        <w:spacing w:before="120" w:line="288" w:lineRule="auto"/>
        <w:ind w:lef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3B5859" w:rsidRDefault="008A346C" w:rsidP="003B585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BB0E8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BB0E87">
        <w:rPr>
          <w:rFonts w:ascii="Arial" w:hAnsi="Arial" w:cs="Arial"/>
          <w:sz w:val="22"/>
          <w:szCs w:val="22"/>
        </w:rPr>
        <w:t>čtvrtletí.</w:t>
      </w:r>
    </w:p>
    <w:p w:rsidR="00893F98" w:rsidRPr="003B5859" w:rsidRDefault="00C25898" w:rsidP="003B5859">
      <w:pPr>
        <w:spacing w:before="120" w:line="288" w:lineRule="auto"/>
        <w:ind w:lef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92EB1" w:rsidRPr="0033166B" w:rsidRDefault="00893F98" w:rsidP="00BB0E8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3B5859" w:rsidRDefault="003B5859" w:rsidP="003B5859">
      <w:pPr>
        <w:pStyle w:val="slalnk"/>
        <w:spacing w:before="0" w:after="0" w:line="312" w:lineRule="auto"/>
        <w:jc w:val="left"/>
        <w:rPr>
          <w:rFonts w:ascii="Arial" w:hAnsi="Arial" w:cs="Arial"/>
          <w:b w:val="0"/>
          <w:i/>
          <w:color w:val="ED7D31"/>
          <w:sz w:val="20"/>
        </w:rPr>
      </w:pPr>
    </w:p>
    <w:p w:rsidR="00061889" w:rsidRDefault="00061889" w:rsidP="003B585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3B5859" w:rsidRPr="003B5859" w:rsidRDefault="00061889" w:rsidP="003B585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:rsidR="003B5859" w:rsidRPr="003B5859" w:rsidRDefault="003B5859" w:rsidP="003B5859">
      <w:pPr>
        <w:pStyle w:val="Odstavecseseznamem"/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847FE" w:rsidRPr="003B5859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3B5859" w:rsidRPr="00D7112E" w:rsidRDefault="00061889" w:rsidP="003B585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D7112E">
        <w:rPr>
          <w:rFonts w:ascii="Arial" w:hAnsi="Arial" w:cs="Arial"/>
          <w:sz w:val="22"/>
          <w:szCs w:val="22"/>
        </w:rPr>
        <w:t>1/2021 ze dne 25. 11. 2019.</w:t>
      </w:r>
      <w:r w:rsidRPr="00061889">
        <w:rPr>
          <w:rFonts w:ascii="Arial" w:hAnsi="Arial" w:cs="Arial"/>
          <w:sz w:val="22"/>
          <w:szCs w:val="22"/>
        </w:rPr>
        <w:t xml:space="preserve"> </w:t>
      </w:r>
    </w:p>
    <w:p w:rsidR="00D7112E" w:rsidRPr="003B5859" w:rsidRDefault="00D7112E" w:rsidP="00D7112E">
      <w:pPr>
        <w:spacing w:before="120" w:line="288" w:lineRule="auto"/>
        <w:ind w:left="567"/>
        <w:jc w:val="both"/>
        <w:rPr>
          <w:rFonts w:ascii="Arial" w:hAnsi="Arial" w:cs="Arial"/>
        </w:rPr>
      </w:pPr>
    </w:p>
    <w:p w:rsidR="00893F98" w:rsidRPr="00DF5857" w:rsidRDefault="00893F98" w:rsidP="003B5859">
      <w:pPr>
        <w:spacing w:before="120" w:line="288" w:lineRule="auto"/>
        <w:ind w:left="567"/>
        <w:jc w:val="center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D7112E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bookmarkStart w:id="0" w:name="_GoBack"/>
      <w:r w:rsidR="000C2D89" w:rsidRPr="000C2D89">
        <w:rPr>
          <w:rFonts w:ascii="Arial" w:hAnsi="Arial" w:cs="Arial"/>
          <w:sz w:val="22"/>
          <w:szCs w:val="22"/>
        </w:rPr>
        <w:t>20.6.2024</w:t>
      </w:r>
      <w:bookmarkEnd w:id="0"/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81E5A" w:rsidRDefault="00681E5A" w:rsidP="003B585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3B5859">
        <w:rPr>
          <w:rFonts w:ascii="Arial" w:hAnsi="Arial" w:cs="Arial"/>
          <w:sz w:val="22"/>
          <w:szCs w:val="22"/>
        </w:rPr>
        <w:t>Jiří Nowický</w:t>
      </w:r>
      <w:r w:rsidR="003B5859">
        <w:rPr>
          <w:rFonts w:ascii="Arial" w:hAnsi="Arial" w:cs="Arial"/>
          <w:sz w:val="22"/>
          <w:szCs w:val="22"/>
        </w:rPr>
        <w:tab/>
      </w:r>
      <w:r w:rsidR="003B5859">
        <w:rPr>
          <w:rFonts w:ascii="Arial" w:hAnsi="Arial" w:cs="Arial"/>
          <w:sz w:val="22"/>
          <w:szCs w:val="22"/>
        </w:rPr>
        <w:tab/>
        <w:t>Olga Redmondová</w:t>
      </w:r>
    </w:p>
    <w:p w:rsidR="003B5859" w:rsidRPr="003B5859" w:rsidRDefault="003B5859" w:rsidP="003B585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místostarosta</w:t>
      </w:r>
    </w:p>
    <w:p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81E5A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242" w:rsidRDefault="00A04242">
      <w:r>
        <w:separator/>
      </w:r>
    </w:p>
  </w:endnote>
  <w:endnote w:type="continuationSeparator" w:id="0">
    <w:p w:rsidR="00A04242" w:rsidRDefault="00A0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45" w:rsidRPr="00480128" w:rsidRDefault="003F004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C2D8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242" w:rsidRDefault="00A04242">
      <w:r>
        <w:separator/>
      </w:r>
    </w:p>
  </w:footnote>
  <w:footnote w:type="continuationSeparator" w:id="0">
    <w:p w:rsidR="00A04242" w:rsidRDefault="00A04242">
      <w:r>
        <w:continuationSeparator/>
      </w:r>
    </w:p>
  </w:footnote>
  <w:footnote w:id="1">
    <w:p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4BA438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2D89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B5859"/>
    <w:rsid w:val="003C1B30"/>
    <w:rsid w:val="003C46D6"/>
    <w:rsid w:val="003C565A"/>
    <w:rsid w:val="003E2FA6"/>
    <w:rsid w:val="003E405C"/>
    <w:rsid w:val="003E4860"/>
    <w:rsid w:val="003F004C"/>
    <w:rsid w:val="003F4FD0"/>
    <w:rsid w:val="003F7238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66BB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024A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242"/>
    <w:rsid w:val="00A04CA2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0E87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12E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25AF0"/>
    <w:rsid w:val="00F25D28"/>
    <w:rsid w:val="00F363FB"/>
    <w:rsid w:val="00F45FB4"/>
    <w:rsid w:val="00F50C84"/>
    <w:rsid w:val="00F53334"/>
    <w:rsid w:val="00F56536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2B5949-FDE5-44CA-A16D-8C43710D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B5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AF27-8C95-4EC9-B08A-1964B0BF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Admin</cp:lastModifiedBy>
  <cp:revision>2</cp:revision>
  <cp:lastPrinted>2024-04-17T12:30:00Z</cp:lastPrinted>
  <dcterms:created xsi:type="dcterms:W3CDTF">2024-06-05T09:52:00Z</dcterms:created>
  <dcterms:modified xsi:type="dcterms:W3CDTF">2024-06-05T09:52:00Z</dcterms:modified>
</cp:coreProperties>
</file>