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>
          <w:rFonts w:ascii="Arial" w:hAnsi="Arial" w:cs="Arial"/>
          <w:bCs/>
          <w:i/>
          <w:i/>
          <w:color w:val="FF0000"/>
          <w:sz w:val="22"/>
          <w:szCs w:val="22"/>
        </w:rPr>
      </w:pPr>
      <w:r>
        <w:rPr>
          <w:rFonts w:cs="Arial" w:ascii="Arial" w:hAnsi="Arial"/>
          <w:bCs/>
          <w:i/>
          <w:color w:val="FF0000"/>
          <w:sz w:val="22"/>
          <w:szCs w:val="22"/>
        </w:rPr>
      </w:r>
    </w:p>
    <w:p>
      <w:pPr>
        <w:pStyle w:val="Tlotextu"/>
        <w:rPr>
          <w:rFonts w:ascii="Arial" w:hAnsi="Arial" w:cs="Arial"/>
          <w:bCs/>
          <w:i/>
          <w:i/>
          <w:color w:val="FF0000"/>
          <w:sz w:val="22"/>
          <w:szCs w:val="22"/>
        </w:rPr>
      </w:pPr>
      <w:r>
        <w:rPr>
          <w:rFonts w:cs="Arial" w:ascii="Arial" w:hAnsi="Arial"/>
          <w:bCs/>
          <w:i/>
          <w:color w:val="FF0000"/>
          <w:sz w:val="22"/>
          <w:szCs w:val="22"/>
        </w:rPr>
      </w:r>
    </w:p>
    <w:p>
      <w:pPr>
        <w:pStyle w:val="Tlotextu"/>
        <w:jc w:val="center"/>
        <w:rPr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Obec Bohdalec</w:t>
      </w:r>
    </w:p>
    <w:p>
      <w:pPr>
        <w:pStyle w:val="Tlotextu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lotextu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Nařízení </w:t>
      </w:r>
    </w:p>
    <w:p>
      <w:pPr>
        <w:pStyle w:val="Tlotextu"/>
        <w:jc w:val="center"/>
        <w:rPr>
          <w:rFonts w:ascii="Arial" w:hAnsi="Arial" w:eastAsia="Calibri" w:cs="Arial"/>
          <w:b/>
          <w:b/>
          <w:bCs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sz w:val="22"/>
          <w:szCs w:val="22"/>
          <w:lang w:eastAsia="en-US"/>
        </w:rPr>
      </w:r>
    </w:p>
    <w:p>
      <w:pPr>
        <w:pStyle w:val="Tlotextu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  <w:lang w:eastAsia="en-US"/>
        </w:rPr>
        <w:t>o zákazu podomního a pochůzkového prodeje na území obce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 xml:space="preserve">Zastupitelstvo obce Bohdalec  se na svém zasedání dne 12. 12. 2024 usnesením                č. 169/17/2024 usneslo vydat na základě ustanovení § 18 odst. 4 zákona č. </w:t>
      </w:r>
      <w:r>
        <w:rPr>
          <w:rFonts w:eastAsia="Calibri" w:cs="Arial" w:ascii="Arial" w:hAnsi="Arial"/>
          <w:color w:val="000000"/>
          <w:sz w:val="22"/>
          <w:szCs w:val="22"/>
          <w:lang w:eastAsia="en-US"/>
        </w:rPr>
        <w:t>455/1991 Sb., o živnostenském podnikání (živnostenský zákon), ve znění pozdějších předpisů,</w:t>
      </w:r>
      <w:r>
        <w:rPr>
          <w:rFonts w:cs="Arial" w:ascii="Arial" w:hAnsi="Arial"/>
          <w:color w:val="000000"/>
          <w:sz w:val="22"/>
          <w:szCs w:val="22"/>
        </w:rPr>
        <w:t xml:space="preserve"> a v souladu s ustanovením § 11 odst. 1, § 84 odst. 3 a § 102 odst. 4 ve spojení s odst. 2 písm. d) zákona č. 128/2000 Sb., o obcích (obecní zřízení), ve znění pozdějších předpisů, toto nařízení</w:t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Normal"/>
        <w:jc w:val="both"/>
        <w:rPr>
          <w:rFonts w:ascii="Arial" w:hAnsi="Arial" w:eastAsia="Calibri" w:cs="Arial"/>
          <w:b/>
          <w:b/>
          <w:bCs/>
          <w:color w:val="000000"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color w:val="000000"/>
          <w:sz w:val="22"/>
          <w:szCs w:val="22"/>
          <w:lang w:eastAsia="en-US"/>
        </w:rPr>
      </w:r>
    </w:p>
    <w:p>
      <w:pPr>
        <w:pStyle w:val="Normal"/>
        <w:jc w:val="center"/>
        <w:rPr>
          <w:rFonts w:ascii="Arial" w:hAnsi="Arial" w:eastAsia="Calibri" w:cs="Arial"/>
          <w:b/>
          <w:b/>
          <w:bCs/>
          <w:color w:val="000000"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color w:val="000000"/>
          <w:sz w:val="22"/>
          <w:szCs w:val="22"/>
          <w:lang w:eastAsia="en-US"/>
        </w:rPr>
      </w:r>
    </w:p>
    <w:p>
      <w:pPr>
        <w:pStyle w:val="Default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Default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Úvodní ustanovení</w:t>
      </w:r>
    </w:p>
    <w:p>
      <w:pPr>
        <w:pStyle w:val="Defaul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Default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</w:rPr>
        <w:t>Předmětem tohoto nařízení obce (dále jen „nařízení“) je stanovit</w:t>
      </w:r>
      <w:r>
        <w:rPr>
          <w:rFonts w:cs="Arial" w:ascii="Arial" w:hAnsi="Arial"/>
          <w:color w:val="000000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>
        <w:rPr>
          <w:rFonts w:cs="Arial" w:ascii="Arial" w:hAnsi="Arial"/>
          <w:sz w:val="22"/>
          <w:szCs w:val="22"/>
        </w:rPr>
        <w:t xml:space="preserve"> rozhodnutím, opatřením nebo jiným úkonem vyžadovaným stavebním zákonem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 xml:space="preserve">)  jsou v obcí Bohdalec zakázány. </w:t>
      </w:r>
    </w:p>
    <w:p>
      <w:pPr>
        <w:pStyle w:val="Normal"/>
        <w:jc w:val="both"/>
        <w:rPr>
          <w:rFonts w:ascii="Arial" w:hAnsi="Arial" w:eastAsia="Calibri" w:cs="Arial"/>
          <w:b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4"/>
        </w:numPr>
        <w:ind w:start="714" w:hanging="357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Účelem tohoto nařízení je nenarušování ochrany obydlí, zajištění veřejného pořádku a zvýšení bezpečnosti obyvatel obce Bohdalec.</w:t>
      </w:r>
    </w:p>
    <w:p>
      <w:pPr>
        <w:pStyle w:val="Normal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spacing w:before="0" w:after="120"/>
        <w:jc w:val="center"/>
        <w:rPr>
          <w:rFonts w:ascii="Arial" w:hAnsi="Arial" w:eastAsia="Calibri" w:cs="Arial"/>
          <w:b/>
          <w:b/>
          <w:bCs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sz w:val="22"/>
          <w:szCs w:val="22"/>
          <w:lang w:eastAsia="en-US"/>
        </w:rPr>
        <w:t>Vymezení pojmů</w:t>
      </w:r>
    </w:p>
    <w:p>
      <w:pPr>
        <w:pStyle w:val="Normal"/>
        <w:spacing w:before="0" w:after="120"/>
        <w:jc w:val="center"/>
        <w:rPr>
          <w:rFonts w:ascii="Arial" w:hAnsi="Arial" w:eastAsia="Calibri" w:cs="Arial"/>
          <w:b/>
          <w:b/>
          <w:bCs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sz w:val="22"/>
          <w:szCs w:val="22"/>
          <w:lang w:eastAsia="en-US"/>
        </w:rPr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Pro účely tohoto nařízení se vymezují pojmy: </w:t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 xml:space="preserve">Podomním prodejem se rozumí </w:t>
      </w:r>
      <w:r>
        <w:rPr>
          <w:rFonts w:cs="Arial" w:ascii="Arial" w:hAnsi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>
        <w:rPr>
          <w:rFonts w:eastAsia="Calibri" w:cs="Arial" w:ascii="Arial" w:hAnsi="Arial"/>
          <w:sz w:val="22"/>
          <w:szCs w:val="22"/>
          <w:lang w:eastAsia="en-US"/>
        </w:rPr>
        <w:t xml:space="preserve">bez předchozí objednávky. </w:t>
      </w:r>
    </w:p>
    <w:p>
      <w:pPr>
        <w:pStyle w:val="Normal"/>
        <w:ind w:star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 ruky, </w:t>
      </w:r>
      <w:r>
        <w:rPr>
          <w:rFonts w:eastAsia="Calibri" w:cs="Arial" w:ascii="Arial" w:hAnsi="Arial"/>
          <w:sz w:val="22"/>
          <w:szCs w:val="22"/>
          <w:lang w:eastAsia="en-US"/>
        </w:rPr>
        <w:t>přičemž n</w:t>
      </w:r>
      <w:r>
        <w:rPr>
          <w:rFonts w:cs="Arial" w:ascii="Arial" w:hAnsi="Arial"/>
          <w:sz w:val="22"/>
          <w:szCs w:val="22"/>
        </w:rPr>
        <w:t>ení rozhodující, zda ten, kdo zboží nebo služby prodává či nabízí, se přemísťuje nebo postává na místě.</w:t>
      </w:r>
    </w:p>
    <w:p>
      <w:pPr>
        <w:pStyle w:val="Default"/>
        <w:ind w:start="720" w:hanging="0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</w:r>
    </w:p>
    <w:p>
      <w:pPr>
        <w:pStyle w:val="Default"/>
        <w:ind w:start="720" w:hanging="0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</w:r>
    </w:p>
    <w:p>
      <w:pPr>
        <w:pStyle w:val="Default"/>
        <w:ind w:start="720" w:hanging="0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</w:r>
    </w:p>
    <w:p>
      <w:pPr>
        <w:pStyle w:val="Default"/>
        <w:ind w:start="720" w:hanging="0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</w:r>
    </w:p>
    <w:p>
      <w:pPr>
        <w:pStyle w:val="Default"/>
        <w:ind w:start="720" w:hanging="0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</w:r>
    </w:p>
    <w:p>
      <w:pPr>
        <w:pStyle w:val="Default"/>
        <w:ind w:start="720" w:hanging="0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</w:r>
    </w:p>
    <w:p>
      <w:pPr>
        <w:pStyle w:val="Default"/>
        <w:ind w:start="720" w:hanging="0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</w:r>
    </w:p>
    <w:p>
      <w:pPr>
        <w:pStyle w:val="Default"/>
        <w:ind w:start="720" w:hanging="0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Zakázané formy prodeje zboží a poskytování služeb</w:t>
      </w:r>
    </w:p>
    <w:p>
      <w:pPr>
        <w:pStyle w:val="Default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color w:val="000000"/>
        </w:rPr>
      </w:pPr>
      <w:r>
        <w:rPr>
          <w:rFonts w:eastAsia="Calibri" w:cs="Arial" w:ascii="Arial" w:hAnsi="Arial"/>
          <w:color w:val="000000"/>
          <w:sz w:val="22"/>
          <w:szCs w:val="22"/>
          <w:lang w:eastAsia="en-US"/>
        </w:rPr>
        <w:tab/>
        <w:t>Na území obce Bohdalec se podomní prodej a pochůzkový prodej zakazují.</w:t>
      </w:r>
    </w:p>
    <w:p>
      <w:pPr>
        <w:pStyle w:val="Default"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</w:r>
    </w:p>
    <w:p>
      <w:pPr>
        <w:pStyle w:val="Default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Default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4</w:t>
      </w:r>
    </w:p>
    <w:p>
      <w:pPr>
        <w:pStyle w:val="Default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Závěrečná ustanovení</w:t>
      </w:r>
    </w:p>
    <w:p>
      <w:pPr>
        <w:pStyle w:val="Default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Porušení povinností stanovených tímto nařízením se postihuje podle zvláštních právních předpisů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Default"/>
        <w:ind w:star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Toto nařízení nabývá účinnosti dnem 1. 1. 2025</w:t>
      </w:r>
    </w:p>
    <w:p>
      <w:pPr>
        <w:pStyle w:val="Defaul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Defaul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Defaul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Defaul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Defaul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Defaul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                       ................................................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</w:t>
      </w:r>
      <w:r>
        <w:rPr>
          <w:rFonts w:eastAsia="Arial" w:cs="Arial" w:ascii="Arial" w:hAnsi="Arial"/>
          <w:sz w:val="22"/>
          <w:szCs w:val="22"/>
        </w:rPr>
        <w:t>Ondřej Vencálek v. r.</w:t>
      </w:r>
      <w:r>
        <w:rPr>
          <w:rFonts w:cs="Arial" w:ascii="Arial" w:hAnsi="Arial"/>
          <w:sz w:val="22"/>
          <w:szCs w:val="22"/>
        </w:rPr>
        <w:tab/>
        <w:tab/>
        <w:tab/>
        <w:tab/>
        <w:t xml:space="preserve">    Bohuslav Staněk v. r.</w:t>
      </w:r>
    </w:p>
    <w:p>
      <w:pPr>
        <w:pStyle w:val="Normal"/>
        <w:rPr/>
      </w:pPr>
      <w:r>
        <w:rPr>
          <w:rFonts w:eastAsia="Arial" w:cs="Arial" w:ascii="Arial" w:hAnsi="Arial"/>
          <w:sz w:val="22"/>
          <w:szCs w:val="22"/>
        </w:rPr>
        <w:t xml:space="preserve">                               </w:t>
      </w:r>
      <w:r>
        <w:rPr>
          <w:rFonts w:cs="Arial" w:ascii="Arial" w:hAnsi="Arial"/>
          <w:sz w:val="22"/>
          <w:szCs w:val="22"/>
        </w:rPr>
        <w:t>starosta                                                             místostarosta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header="0" w:top="1418" w:footer="0" w:bottom="141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) Zákon č. 183/2006 Sb., o územním plánování a stavebním řádu (stavební zákon), ve znění pozdějších</w:t>
      </w:r>
    </w:p>
    <w:p>
      <w:pPr>
        <w:pStyle w:val="Poznmkapodarou"/>
        <w:rPr/>
      </w:pPr>
      <w:r>
        <w:rPr>
          <w:rFonts w:eastAsia="Arial" w:cs="Arial" w:ascii="Arial" w:hAnsi="Arial"/>
          <w:sz w:val="18"/>
          <w:szCs w:val="18"/>
        </w:rPr>
        <w:t xml:space="preserve">   </w:t>
      </w:r>
      <w:r>
        <w:rPr>
          <w:rFonts w:cs="Arial" w:ascii="Arial" w:hAnsi="Arial"/>
          <w:sz w:val="18"/>
          <w:szCs w:val="18"/>
        </w:rPr>
        <w:t>předpisů.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) § 4 odst. 1 zákona č. 251/2016 Sb., o některých přestupcích.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oznmkapodarou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Nadpis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Nadpis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Nadpis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cs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2"/>
        <w:szCs w:val="22"/>
        <w:rFonts w:ascii="Arial" w:hAnsi="Arial" w:cs="Arial"/>
        <w:color w:val="00000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2"/>
        <w:szCs w:val="22"/>
        <w:rFonts w:ascii="Arial" w:hAnsi="Arial" w:cs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8"/>
        <w:tab w:val="left" w:pos="7740" w:leader="none"/>
      </w:tabs>
      <w:outlineLvl w:val="3"/>
    </w:pPr>
    <w:rPr>
      <w:sz w:val="24"/>
      <w:szCs w:val="24"/>
    </w:rPr>
  </w:style>
  <w:style w:type="character" w:styleId="WW8Num1z0">
    <w:name w:val="WW8Num1z0"/>
    <w:qFormat/>
    <w:rPr>
      <w:rFonts w:cs="Times New Roman"/>
    </w:rPr>
  </w:style>
  <w:style w:type="character" w:styleId="WW8Num1z2">
    <w:name w:val="WW8Num1z2"/>
    <w:qFormat/>
    <w:rPr>
      <w:rFonts w:cs="Times New Roman"/>
    </w:rPr>
  </w:style>
  <w:style w:type="character" w:styleId="WW8Num2z0">
    <w:name w:val="WW8Num2z0"/>
    <w:qFormat/>
    <w:rPr>
      <w:rFonts w:cs="Aria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cs="Times New Roman"/>
    </w:rPr>
  </w:style>
  <w:style w:type="character" w:styleId="WW8Num5z1">
    <w:name w:val="WW8Num5z1"/>
    <w:qFormat/>
    <w:rPr>
      <w:rFonts w:cs="Times New Roman"/>
    </w:rPr>
  </w:style>
  <w:style w:type="character" w:styleId="WW8Num6z0">
    <w:name w:val="WW8Num6z0"/>
    <w:qFormat/>
    <w:rPr>
      <w:rFonts w:cs="Times New Roman"/>
      <w:b w:val="false"/>
      <w:bCs w:val="false"/>
      <w:i w:val="false"/>
      <w:iCs w:val="false"/>
    </w:rPr>
  </w:style>
  <w:style w:type="character" w:styleId="WW8Num6z2">
    <w:name w:val="WW8Num6z2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8z1">
    <w:name w:val="WW8Num8z1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ascii="Times New Roman" w:hAnsi="Times New Roman" w:eastAsia="Times New Roman" w:cs="Times New Roman"/>
    </w:rPr>
  </w:style>
  <w:style w:type="character" w:styleId="WW8Num9z2">
    <w:name w:val="WW8Num9z2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Arial" w:hAnsi="Arial" w:cs="Arial"/>
      <w:color w:val="000000"/>
      <w:sz w:val="22"/>
      <w:szCs w:val="22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cs="Times New Roman"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ascii="Times New Roman" w:hAnsi="Times New Roman" w:eastAsia="Times New Roman" w:cs="Times New Roman"/>
    </w:rPr>
  </w:style>
  <w:style w:type="character" w:styleId="WW8Num14z2">
    <w:name w:val="WW8Num14z2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WW8Num16z0">
    <w:name w:val="WW8Num16z0"/>
    <w:qFormat/>
    <w:rPr>
      <w:rFonts w:cs="Times New Roman"/>
    </w:rPr>
  </w:style>
  <w:style w:type="character" w:styleId="WW8Num16z1">
    <w:name w:val="WW8Num16z1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WW8Num17z2">
    <w:name w:val="WW8Num17z2"/>
    <w:qFormat/>
    <w:rPr>
      <w:rFonts w:cs="Times New Roman"/>
    </w:rPr>
  </w:style>
  <w:style w:type="character" w:styleId="WW8Num18z0">
    <w:name w:val="WW8Num18z0"/>
    <w:qFormat/>
    <w:rPr>
      <w:rFonts w:cs="Times New Roman"/>
    </w:rPr>
  </w:style>
  <w:style w:type="character" w:styleId="WW8Num18z2">
    <w:name w:val="WW8Num18z2"/>
    <w:qFormat/>
    <w:rPr>
      <w:rFonts w:cs="Times New Roman"/>
    </w:rPr>
  </w:style>
  <w:style w:type="character" w:styleId="WW8Num19z0">
    <w:name w:val="WW8Num19z0"/>
    <w:qFormat/>
    <w:rPr>
      <w:rFonts w:cs="Times New Roman"/>
    </w:rPr>
  </w:style>
  <w:style w:type="character" w:styleId="WW8Num19z2">
    <w:name w:val="WW8Num19z2"/>
    <w:qFormat/>
    <w:rPr>
      <w:rFonts w:cs="Times New Roman"/>
    </w:rPr>
  </w:style>
  <w:style w:type="character" w:styleId="WW8Num20z0">
    <w:name w:val="WW8Num20z0"/>
    <w:qFormat/>
    <w:rPr>
      <w:rFonts w:ascii="Arial" w:hAnsi="Arial" w:cs="Arial"/>
      <w:sz w:val="22"/>
      <w:szCs w:val="22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1z1">
    <w:name w:val="WW8Num21z1"/>
    <w:qFormat/>
    <w:rPr>
      <w:rFonts w:cs="Times New Roman"/>
    </w:rPr>
  </w:style>
  <w:style w:type="character" w:styleId="WW8Num22z0">
    <w:name w:val="WW8Num22z0"/>
    <w:qFormat/>
    <w:rPr>
      <w:rFonts w:cs="Times New Roman"/>
    </w:rPr>
  </w:style>
  <w:style w:type="character" w:styleId="WW8Num22z2">
    <w:name w:val="WW8Num22z2"/>
    <w:qFormat/>
    <w:rPr>
      <w:rFonts w:cs="Times New Roman"/>
    </w:rPr>
  </w:style>
  <w:style w:type="character" w:styleId="Standardnpsmoodstavce">
    <w:name w:val="Standardní písmo odstavce"/>
    <w:qFormat/>
    <w:rPr/>
  </w:style>
  <w:style w:type="character" w:styleId="Nadpis1Char">
    <w:name w:val="Nadpis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dpis2Char">
    <w:name w:val="Nadpis 2 Char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>
    <w:name w:val="Nadpis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>
    <w:name w:val="Nadpis 4 Char"/>
    <w:qFormat/>
    <w:rPr>
      <w:rFonts w:cs="Times New Roman"/>
      <w:b/>
      <w:bCs/>
      <w:sz w:val="28"/>
      <w:szCs w:val="28"/>
    </w:rPr>
  </w:style>
  <w:style w:type="character" w:styleId="ZpatChar">
    <w:name w:val="Zápatí Char"/>
    <w:qFormat/>
    <w:rPr>
      <w:rFonts w:ascii="Times New Roman" w:hAnsi="Times New Roman" w:cs="Times New Roman"/>
      <w:sz w:val="20"/>
      <w:szCs w:val="20"/>
    </w:rPr>
  </w:style>
  <w:style w:type="character" w:styleId="Slostrnky">
    <w:name w:val="Číslo stránky"/>
    <w:rPr>
      <w:rFonts w:cs="Times New Roman"/>
    </w:rPr>
  </w:style>
  <w:style w:type="character" w:styleId="ZkladntextChar">
    <w:name w:val="Základní text Char"/>
    <w:qFormat/>
    <w:rPr>
      <w:rFonts w:ascii="Times New Roman" w:hAnsi="Times New Roman" w:cs="Times New Roman"/>
      <w:sz w:val="20"/>
      <w:szCs w:val="20"/>
    </w:rPr>
  </w:style>
  <w:style w:type="character" w:styleId="Zkladntext2Char">
    <w:name w:val="Základní text 2 Char"/>
    <w:qFormat/>
    <w:rPr>
      <w:rFonts w:ascii="Times New Roman" w:hAnsi="Times New Roman" w:cs="Times New Roman"/>
      <w:sz w:val="20"/>
      <w:szCs w:val="20"/>
    </w:rPr>
  </w:style>
  <w:style w:type="character" w:styleId="TextpoznpodarouChar">
    <w:name w:val="Text pozn. pod čarou Char"/>
    <w:qFormat/>
    <w:rPr>
      <w:rFonts w:ascii="Times New Roman" w:hAnsi="Times New Roman" w:cs="Times New Roman"/>
      <w:sz w:val="20"/>
      <w:szCs w:val="20"/>
    </w:rPr>
  </w:style>
  <w:style w:type="character" w:styleId="Znakypropoznmkupodarou">
    <w:name w:val="Znaky pro poznámku pod čarou"/>
    <w:qFormat/>
    <w:rPr>
      <w:rFonts w:cs="Times New Roman"/>
      <w:vertAlign w:val="superscript"/>
    </w:rPr>
  </w:style>
  <w:style w:type="character" w:styleId="ZhlavChar">
    <w:name w:val="Záhlaví Char"/>
    <w:qFormat/>
    <w:rPr>
      <w:rFonts w:ascii="Times New Roman" w:hAnsi="Times New Roman" w:cs="Times New Roman"/>
      <w:sz w:val="20"/>
      <w:szCs w:val="20"/>
    </w:rPr>
  </w:style>
  <w:style w:type="character" w:styleId="NzevChar">
    <w:name w:val="Název Char"/>
    <w:qFormat/>
    <w:rPr>
      <w:rFonts w:ascii="Times New Roman" w:hAnsi="Times New Roman" w:cs="Times New Roman"/>
      <w:sz w:val="24"/>
      <w:szCs w:val="24"/>
    </w:rPr>
  </w:style>
  <w:style w:type="character" w:styleId="Silnzdraznn">
    <w:name w:val="Silné zdůraznění"/>
    <w:qFormat/>
    <w:rPr>
      <w:b/>
      <w:bCs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>
      <w:rFonts w:ascii="Times New Roman" w:hAnsi="Times New Roman" w:cs="Times New Roman"/>
    </w:rPr>
  </w:style>
  <w:style w:type="character" w:styleId="PedmtkomenteChar">
    <w:name w:val="Předmět komentáře Char"/>
    <w:qFormat/>
    <w:rPr>
      <w:rFonts w:ascii="Times New Roman" w:hAnsi="Times New Roman" w:cs="Times New Roman"/>
      <w:b/>
      <w:bCs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spacing w:before="280" w:after="280"/>
    </w:pPr>
    <w:rPr>
      <w:sz w:val="24"/>
      <w:szCs w:val="24"/>
    </w:rPr>
  </w:style>
  <w:style w:type="paragraph" w:styleId="Tlotextu">
    <w:name w:val="Body Text"/>
    <w:basedOn w:val="Normal"/>
    <w:pPr>
      <w:jc w:val="both"/>
    </w:pPr>
    <w:rPr>
      <w:sz w:val="24"/>
      <w:szCs w:val="24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kladntext2">
    <w:name w:val="Základní text 2"/>
    <w:basedOn w:val="Normal"/>
    <w:qFormat/>
    <w:pPr>
      <w:ind w:firstLine="708"/>
      <w:jc w:val="both"/>
    </w:pPr>
    <w:rPr>
      <w:sz w:val="24"/>
      <w:szCs w:val="24"/>
    </w:rPr>
  </w:style>
  <w:style w:type="paragraph" w:styleId="Poznmkapodarou">
    <w:name w:val="Footnote Text"/>
    <w:basedOn w:val="Normal"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cs-CZ" w:eastAsia="zh-CN" w:bidi="ar-SA"/>
    </w:rPr>
  </w:style>
  <w:style w:type="paragraph" w:styleId="Odstavecseseznamem">
    <w:name w:val="Odstavec se seznamem"/>
    <w:basedOn w:val="Normal"/>
    <w:qFormat/>
    <w:pPr>
      <w:spacing w:before="280" w:after="280"/>
    </w:pPr>
    <w:rPr>
      <w:sz w:val="24"/>
      <w:szCs w:val="24"/>
    </w:rPr>
  </w:style>
  <w:style w:type="paragraph" w:styleId="Textkomente">
    <w:name w:val="Text komentáře"/>
    <w:basedOn w:val="Normal"/>
    <w:qFormat/>
    <w:pPr/>
    <w:rPr/>
  </w:style>
  <w:style w:type="paragraph" w:styleId="Pedmtkomente">
    <w:name w:val="Předmět komentáře"/>
    <w:basedOn w:val="Textkomente"/>
    <w:next w:val="Textkomente"/>
    <w:qFormat/>
    <w:pPr/>
    <w:rPr>
      <w:b/>
      <w:bCs/>
    </w:rPr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</TotalTime>
  <Application>LibreOffice/7.1.1.2$Windows_X86_64 LibreOffice_project/fe0b08f4af1bacafe4c7ecc87ce55bb426164676</Application>
  <AppVersion>15.0000</AppVersion>
  <Pages>2</Pages>
  <Words>328</Words>
  <Characters>1938</Characters>
  <CharactersWithSpaces>2401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2019-12-05T12:59:00Z</dcterms:created>
  <dc:creator>Standard</dc:creator>
  <dc:description/>
  <cp:keywords>  </cp:keywords>
  <dc:language>cs-CZ</dc:language>
  <cp:lastModifiedBy/>
  <cp:lastPrinted>2017-06-14T15:45:00Z</cp:lastPrinted>
  <dcterms:modified xsi:type="dcterms:W3CDTF">2024-12-16T21:31:05Z</dcterms:modified>
  <cp:revision>5</cp:revision>
  <dc:subject/>
  <dc:title>VZOR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