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Lines w:val="0"/>
        <w:spacing w:after="120" w:before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Obec Svárov</w:t>
        <w:br w:type="textWrapping"/>
        <w:t xml:space="preserve">Zastupitelstvo obce Svárov</w:t>
      </w:r>
    </w:p>
    <w:p w:rsidR="00000000" w:rsidDel="00000000" w:rsidP="00000000" w:rsidRDefault="00000000" w:rsidRPr="00000000" w14:paraId="00000002">
      <w:pPr>
        <w:pStyle w:val="Heading1"/>
        <w:keepLines w:val="0"/>
        <w:numPr>
          <w:ilvl w:val="0"/>
          <w:numId w:val="1"/>
        </w:numPr>
        <w:spacing w:after="238" w:before="238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Obecně závazná vyhláška obce Svárov</w:t>
        <w:br w:type="textWrapping"/>
        <w:t xml:space="preserve">o místním poplatku za odkládání komunálního odpadu z nemovité věci</w:t>
      </w:r>
    </w:p>
    <w:p w:rsidR="00000000" w:rsidDel="00000000" w:rsidP="00000000" w:rsidRDefault="00000000" w:rsidRPr="00000000" w14:paraId="00000003">
      <w:pPr>
        <w:spacing w:after="120" w:before="62" w:line="276" w:lineRule="auto"/>
        <w:jc w:val="both"/>
        <w:rPr/>
      </w:pPr>
      <w:r w:rsidDel="00000000" w:rsidR="00000000" w:rsidRPr="00000000">
        <w:rPr>
          <w:rtl w:val="0"/>
        </w:rPr>
        <w:t xml:space="preserve">Zastupitelstvo obce Svárov se na svém zasedání dne 2. dubna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pStyle w:val="Heading2"/>
        <w:keepLines w:val="0"/>
        <w:numPr>
          <w:ilvl w:val="1"/>
          <w:numId w:val="1"/>
        </w:num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1</w:t>
        <w:br w:type="textWrapping"/>
        <w:t xml:space="preserve">Úvodní ustanovení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Obec Svárov touto vyhláškou zavádí místní poplatek za odkládání komunálního odpadu z nemovité věci (dále jen „poplatek“).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Poplatkovým obdobím poplatku je kalendářní rok.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Správcem poplatku je obecní úřad.</w:t>
      </w:r>
    </w:p>
    <w:p w:rsidR="00000000" w:rsidDel="00000000" w:rsidP="00000000" w:rsidRDefault="00000000" w:rsidRPr="00000000" w14:paraId="00000008">
      <w:pPr>
        <w:pStyle w:val="Heading2"/>
        <w:keepLines w:val="0"/>
        <w:numPr>
          <w:ilvl w:val="1"/>
          <w:numId w:val="1"/>
        </w:num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2</w:t>
        <w:br w:type="textWrapping"/>
        <w:t xml:space="preserve">Předmět poplatku, poplatník a plátce poplatku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Předmětem poplatku je odkládání směsného komunálního odpadu z jednotlivé nemovité věci zahrnující byt, rodinný dům nebo stavbu pro rodinnou rekreaci, která se nachází na území obce.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Poplatníkem poplatku je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tabs>
          <w:tab w:val="left" w:leader="none" w:pos="567"/>
        </w:tabs>
        <w:spacing w:after="120" w:line="276" w:lineRule="auto"/>
        <w:ind w:left="964" w:hanging="397"/>
        <w:jc w:val="both"/>
      </w:pPr>
      <w:r w:rsidDel="00000000" w:rsidR="00000000" w:rsidRPr="00000000">
        <w:rPr>
          <w:rtl w:val="0"/>
        </w:rPr>
        <w:t xml:space="preserve">fyzická osoba, která má v nemovité věci bydliště,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tabs>
          <w:tab w:val="left" w:leader="none" w:pos="567"/>
        </w:tabs>
        <w:spacing w:after="120" w:line="276" w:lineRule="auto"/>
        <w:ind w:left="964" w:hanging="397"/>
        <w:jc w:val="both"/>
      </w:pPr>
      <w:r w:rsidDel="00000000" w:rsidR="00000000" w:rsidRPr="00000000">
        <w:rPr>
          <w:rtl w:val="0"/>
        </w:rPr>
        <w:t xml:space="preserve">nebo vlastník nemovité věci, ve které nemá bydliště žádná fyzická osoba.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Plátcem poplatku je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tabs>
          <w:tab w:val="left" w:leader="none" w:pos="567"/>
        </w:tabs>
        <w:spacing w:after="120" w:line="276" w:lineRule="auto"/>
        <w:ind w:left="964" w:hanging="397"/>
        <w:jc w:val="both"/>
      </w:pPr>
      <w:r w:rsidDel="00000000" w:rsidR="00000000" w:rsidRPr="00000000">
        <w:rPr>
          <w:rtl w:val="0"/>
        </w:rPr>
        <w:t xml:space="preserve">společenství vlastníků jednotek, pokud pro dům vzniklo,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tabs>
          <w:tab w:val="left" w:leader="none" w:pos="567"/>
        </w:tabs>
        <w:spacing w:after="120" w:line="276" w:lineRule="auto"/>
        <w:ind w:left="964" w:hanging="397"/>
        <w:jc w:val="both"/>
      </w:pPr>
      <w:r w:rsidDel="00000000" w:rsidR="00000000" w:rsidRPr="00000000">
        <w:rPr>
          <w:rtl w:val="0"/>
        </w:rPr>
        <w:t xml:space="preserve">nebo vlastník nemovité věci v ostatních případech.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Plátce poplatku je povinen vybrat poplatek od poplatníka.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Spoluvlastníci nemovité věci zahrnující byt, rodinný dům nebo stavbu pro rodinnou rekreaci jsou povinni plnit poplatkovou povinnost společně a nerozdílně.</w:t>
      </w:r>
    </w:p>
    <w:p w:rsidR="00000000" w:rsidDel="00000000" w:rsidP="00000000" w:rsidRDefault="00000000" w:rsidRPr="00000000" w14:paraId="00000012">
      <w:pPr>
        <w:pStyle w:val="Heading2"/>
        <w:keepLines w:val="0"/>
        <w:spacing w:line="276" w:lineRule="auto"/>
        <w:ind w:left="5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3</w:t>
        <w:br w:type="textWrapping"/>
        <w:t xml:space="preserve">Ohlašovací povinnost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Plátce poplatku je povinen podat správci poplatku ohlášení nejpozději do 30 dnů ode dne, kdy nabyl postavení plátce poplatku; údaje uváděné v ohlášení upravuje zákon.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Dojde-li ke změně údajů uvedených v ohlášení, je plátce povinen tuto změnu oznámit do 15 dnů ode dne, kdy nastala.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Není-li plátce poplatku, plní ohlašovací povinnost poplatník.</w:t>
      </w:r>
    </w:p>
    <w:p w:rsidR="00000000" w:rsidDel="00000000" w:rsidP="00000000" w:rsidRDefault="00000000" w:rsidRPr="00000000" w14:paraId="00000016">
      <w:pPr>
        <w:pStyle w:val="Heading2"/>
        <w:keepLines w:val="0"/>
        <w:spacing w:line="276" w:lineRule="auto"/>
        <w:ind w:left="5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4</w:t>
        <w:br w:type="textWrapping"/>
        <w:t xml:space="preserve">Základ poplatku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Základem dílčího poplatku je objem odpadu odloženého z nemovité věci za kalendářní měsíc v litrech připadajícího na poplatníka.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Objemem odpadu odloženého z nemovité věci za kalendářní měsíc připadající na poplatníka je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tabs>
          <w:tab w:val="left" w:leader="none" w:pos="567"/>
        </w:tabs>
        <w:spacing w:after="120" w:line="276" w:lineRule="auto"/>
        <w:ind w:left="964" w:hanging="397"/>
        <w:jc w:val="both"/>
      </w:pPr>
      <w:r w:rsidDel="00000000" w:rsidR="00000000" w:rsidRPr="00000000">
        <w:rPr>
          <w:rtl w:val="0"/>
        </w:rPr>
        <w:t xml:space="preserve">podíl objemu odpadu odloženého z této nemovité věci za kalendářní měsíc a počtu fyzických osob, které v této nemovité věci mají bydliště na konci kalendářního měsíce,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tabs>
          <w:tab w:val="left" w:leader="none" w:pos="567"/>
        </w:tabs>
        <w:spacing w:after="120" w:line="276" w:lineRule="auto"/>
        <w:ind w:left="964" w:hanging="397"/>
        <w:jc w:val="both"/>
      </w:pPr>
      <w:r w:rsidDel="00000000" w:rsidR="00000000" w:rsidRPr="00000000">
        <w:rPr>
          <w:rtl w:val="0"/>
        </w:rPr>
        <w:t xml:space="preserve">nebo objem odpadu odloženého z této nemovité věci za kalendářní měsíc v případě, že v nemovité věci nemá bydliště žádná fyzická osoba.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Minimální základ dílčího poplatku činí 60 l.</w:t>
      </w:r>
    </w:p>
    <w:p w:rsidR="00000000" w:rsidDel="00000000" w:rsidP="00000000" w:rsidRDefault="00000000" w:rsidRPr="00000000" w14:paraId="0000001C">
      <w:pPr>
        <w:pStyle w:val="Heading2"/>
        <w:keepLines w:val="0"/>
        <w:spacing w:line="276" w:lineRule="auto"/>
        <w:ind w:left="5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5</w:t>
        <w:br w:type="textWrapping"/>
        <w:t xml:space="preserve">Sazba poplatku</w:t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spacing w:after="120" w:line="276" w:lineRule="auto"/>
        <w:jc w:val="both"/>
        <w:rPr/>
      </w:pPr>
      <w:r w:rsidDel="00000000" w:rsidR="00000000" w:rsidRPr="00000000">
        <w:rPr>
          <w:rtl w:val="0"/>
        </w:rPr>
        <w:t xml:space="preserve">Sazba poplatku činí 0,5 Kč za l.</w:t>
      </w:r>
    </w:p>
    <w:p w:rsidR="00000000" w:rsidDel="00000000" w:rsidP="00000000" w:rsidRDefault="00000000" w:rsidRPr="00000000" w14:paraId="0000001E">
      <w:pPr>
        <w:pStyle w:val="Heading2"/>
        <w:keepLines w:val="0"/>
        <w:spacing w:line="276" w:lineRule="auto"/>
        <w:ind w:left="5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6</w:t>
        <w:br w:type="textWrapping"/>
        <w:t xml:space="preserve">Výpočet poplatku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Poplatek se vypočte jako součet dílčích poplatků za jednotlivé kalendářní měsíce, na jejichž konci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tabs>
          <w:tab w:val="left" w:leader="none" w:pos="567"/>
        </w:tabs>
        <w:spacing w:after="120" w:line="276" w:lineRule="auto"/>
        <w:ind w:left="964" w:hanging="397"/>
        <w:jc w:val="both"/>
      </w:pPr>
      <w:r w:rsidDel="00000000" w:rsidR="00000000" w:rsidRPr="00000000">
        <w:rPr>
          <w:rtl w:val="0"/>
        </w:rPr>
        <w:t xml:space="preserve">měl poplatník v nemovité věci bydliště,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tabs>
          <w:tab w:val="left" w:leader="none" w:pos="567"/>
        </w:tabs>
        <w:spacing w:after="120" w:line="276" w:lineRule="auto"/>
        <w:ind w:left="964" w:hanging="397"/>
        <w:jc w:val="both"/>
      </w:pPr>
      <w:r w:rsidDel="00000000" w:rsidR="00000000" w:rsidRPr="00000000">
        <w:rPr>
          <w:rtl w:val="0"/>
        </w:rPr>
        <w:t xml:space="preserve">nebo neměla v nemovité věci bydliště žádná fyzická osoba v případě, že poplatníkem je vlastník této nemovité věci.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Dílčí poplatek za kalendářní měsíc se vypočte jako součin základu dílčího poplatku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na celé litry nahoru a sazby pro tento základ.</w:t>
      </w:r>
    </w:p>
    <w:p w:rsidR="00000000" w:rsidDel="00000000" w:rsidP="00000000" w:rsidRDefault="00000000" w:rsidRPr="00000000" w14:paraId="00000024">
      <w:pPr>
        <w:pStyle w:val="Heading2"/>
        <w:keepLines w:val="0"/>
        <w:spacing w:line="276" w:lineRule="auto"/>
        <w:ind w:left="5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7</w:t>
        <w:br w:type="textWrapping"/>
        <w:t xml:space="preserve">Splatnost poplatku</w:t>
      </w:r>
    </w:p>
    <w:p w:rsidR="00000000" w:rsidDel="00000000" w:rsidP="00000000" w:rsidRDefault="00000000" w:rsidRPr="00000000" w14:paraId="00000025">
      <w:pPr>
        <w:tabs>
          <w:tab w:val="left" w:leader="none" w:pos="567"/>
        </w:tabs>
        <w:spacing w:after="120" w:line="276" w:lineRule="auto"/>
        <w:jc w:val="both"/>
        <w:rPr/>
      </w:pPr>
      <w:r w:rsidDel="00000000" w:rsidR="00000000" w:rsidRPr="00000000">
        <w:rPr>
          <w:rtl w:val="0"/>
        </w:rPr>
        <w:t xml:space="preserve">Správce poplatku vyměří poplatek rozhodnutím; poplatek je splatný ve lhůtě 30 dnů ode dne oznámení tohoto rozhodnutí.</w:t>
      </w:r>
    </w:p>
    <w:p w:rsidR="00000000" w:rsidDel="00000000" w:rsidP="00000000" w:rsidRDefault="00000000" w:rsidRPr="00000000" w14:paraId="00000026">
      <w:pPr>
        <w:pStyle w:val="Heading2"/>
        <w:keepLines w:val="0"/>
        <w:spacing w:line="276" w:lineRule="auto"/>
        <w:ind w:left="5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8</w:t>
        <w:br w:type="textWrapping"/>
        <w:t xml:space="preserve">Přechodné a zrušovací ustanovení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Poplatkové povinnosti vzniklé před nabytím účinnosti této vyhlášky se posuzují podle dosavadních právních předpisů.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left" w:leader="none" w:pos="567"/>
        </w:tabs>
        <w:spacing w:after="120" w:line="276" w:lineRule="auto"/>
        <w:ind w:left="567"/>
        <w:jc w:val="both"/>
      </w:pPr>
      <w:r w:rsidDel="00000000" w:rsidR="00000000" w:rsidRPr="00000000">
        <w:rPr>
          <w:rtl w:val="0"/>
        </w:rPr>
        <w:t xml:space="preserve">Zrušuje se obecně závazná vyhláška č. 1/2024, obce Svárov o místním poplatku za odkládání komunálního odpadu z nemovité věci, ze dne 19. prosince 2024.</w:t>
      </w:r>
    </w:p>
    <w:p w:rsidR="00000000" w:rsidDel="00000000" w:rsidP="00000000" w:rsidRDefault="00000000" w:rsidRPr="00000000" w14:paraId="00000029">
      <w:pPr>
        <w:pStyle w:val="Heading2"/>
        <w:keepLines w:val="0"/>
        <w:spacing w:line="276" w:lineRule="auto"/>
        <w:ind w:left="567" w:firstLine="0"/>
        <w:jc w:val="center"/>
        <w:rPr>
          <w:b w:val="1"/>
          <w:sz w:val="24"/>
          <w:szCs w:val="24"/>
        </w:rPr>
      </w:pPr>
      <w:bookmarkStart w:colFirst="0" w:colLast="0" w:name="_rroxw2j8sam0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Čl. 9</w:t>
        <w:br w:type="textWrapping"/>
        <w:t xml:space="preserve">Účinnost</w:t>
      </w:r>
    </w:p>
    <w:p w:rsidR="00000000" w:rsidDel="00000000" w:rsidP="00000000" w:rsidRDefault="00000000" w:rsidRPr="00000000" w14:paraId="0000002A">
      <w:pPr>
        <w:tabs>
          <w:tab w:val="left" w:leader="none" w:pos="567"/>
        </w:tabs>
        <w:spacing w:after="120" w:line="276" w:lineRule="auto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tl w:val="0"/>
        </w:rPr>
        <w:t xml:space="preserve">Tato vyhláška nabývá účinnosti patnáctým dnem po uveřejnění na úřední desce obce Svárov.</w:t>
      </w:r>
      <w:r w:rsidDel="00000000" w:rsidR="00000000" w:rsidRPr="00000000">
        <w:fldChar w:fldCharType="begin"/>
        <w:instrText xml:space="preserve"> HYPERLINK "https://sbirkapp.gov.cz/"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67"/>
        </w:tabs>
        <w:spacing w:after="120" w:line="276" w:lineRule="auto"/>
        <w:jc w:val="both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tbl>
      <w:tblPr>
        <w:tblStyle w:val="Table1"/>
        <w:tblW w:w="9641.0" w:type="dxa"/>
        <w:jc w:val="left"/>
        <w:tblInd w:w="-55.0" w:type="dxa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keepNext w:val="1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Ivan Zetek v. r.</w:t>
              <w:br w:type="textWrapping"/>
              <w:t xml:space="preserve"> starosta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Václav Urban v. r.</w:t>
              <w:br w:type="textWrapping"/>
              <w:t xml:space="preserve"> místostarosta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>
        <w:u w:val="non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u w:val="no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u w:val="none"/>
      </w:rPr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>
        <w:u w:val="non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u w:val="no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