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ost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;Yu Gothic UI" w:cs="Times New Roman"/>
          <w:b/>
          <w:b/>
          <w:bCs/>
          <w:sz w:val="40"/>
          <w:szCs w:val="40"/>
          <w:lang w:val="cs-CZ"/>
        </w:rPr>
      </w:pPr>
      <w:r>
        <w:rPr>
          <w:rFonts w:eastAsia="MS Mincho;Yu Gothic UI" w:cs="Times New Roman" w:ascii="Times New Roman" w:hAnsi="Times New Roman"/>
          <w:b/>
          <w:bCs/>
          <w:sz w:val="40"/>
          <w:szCs w:val="40"/>
          <w:lang w:val="cs-CZ"/>
        </w:rPr>
      </w:r>
    </w:p>
    <w:p>
      <w:pPr>
        <w:pStyle w:val="Prosttext"/>
        <w:tabs>
          <w:tab w:val="clear" w:pos="709"/>
          <w:tab w:val="left" w:pos="4172" w:leader="none"/>
        </w:tabs>
        <w:jc w:val="center"/>
        <w:rPr>
          <w:rFonts w:ascii="Times New Roman" w:hAnsi="Times New Roman" w:eastAsia="MS Mincho;Yu Gothic UI" w:cs="Times New Roman"/>
          <w:b/>
          <w:b/>
          <w:bCs/>
          <w:sz w:val="40"/>
          <w:szCs w:val="40"/>
          <w:lang w:val="cs-CZ"/>
        </w:rPr>
      </w:pPr>
      <w:r>
        <w:rPr>
          <w:rFonts w:eastAsia="MS Mincho;Yu Gothic UI" w:cs="Times New Roman" w:ascii="Times New Roman" w:hAnsi="Times New Roman"/>
          <w:b/>
          <w:bCs/>
          <w:sz w:val="40"/>
          <w:szCs w:val="40"/>
          <w:lang w:val="cs-CZ"/>
        </w:rPr>
        <w:t>O B E C   RŮŽOVÁ</w:t>
      </w:r>
    </w:p>
    <w:p>
      <w:pPr>
        <w:pStyle w:val="Normal"/>
        <w:jc w:val="center"/>
        <w:rPr>
          <w:rFonts w:ascii="Times New Roman" w:hAnsi="Times New Roman" w:eastAsia="MS Mincho;Yu Gothic UI" w:cs="Times New Roman"/>
          <w:b/>
          <w:b/>
          <w:bCs/>
          <w:sz w:val="40"/>
          <w:szCs w:val="40"/>
          <w:lang w:val="cs-CZ"/>
        </w:rPr>
      </w:pPr>
      <w:r>
        <w:rPr>
          <w:rFonts w:eastAsia="MS Mincho;Yu Gothic UI" w:cs="Times New Roman"/>
          <w:b/>
          <w:bCs/>
          <w:sz w:val="40"/>
          <w:szCs w:val="40"/>
          <w:lang w:val="cs-CZ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ZASTUPITELSTVO OBCE RŮŽOVÁ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Obecně závazná vyhláška č. 2/2023,</w:t>
      </w:r>
    </w:p>
    <w:p>
      <w:pPr>
        <w:pStyle w:val="Normal"/>
        <w:autoSpaceDE w:val="false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autoSpaceDE w:val="false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regulaci hlučné zábavní pyrotechniky </w:t>
      </w:r>
    </w:p>
    <w:p>
      <w:pPr>
        <w:pStyle w:val="Normal"/>
        <w:autoSpaceDE w:val="false"/>
        <w:jc w:val="both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i/>
        </w:rPr>
        <w:t>Zastupitelstvo obce Růžová se na svém zasedání dne 17. března 2023 usneslo usnesením č. 23/23 vydat na základě § 10 písm. a) a d) a § 84 odst. 2 písm. h) zákona č. 128/2000 Sb., o obcích (obecní zřízení), ve znění pozdějších předpisů, tuto obecně závaznou vyhlášku (dále jen „vyhláška“):</w:t>
      </w:r>
    </w:p>
    <w:p>
      <w:pPr>
        <w:pStyle w:val="Normal"/>
        <w:autoSpaceDE w:val="false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center"/>
        <w:rPr/>
      </w:pPr>
      <w:r>
        <w:rPr>
          <w:b/>
          <w:bCs/>
        </w:rPr>
        <w:t>Článek 1</w:t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  <w:t>Úvodní ustanovení</w:t>
      </w:r>
    </w:p>
    <w:p>
      <w:pPr>
        <w:pStyle w:val="Normal"/>
        <w:autoSpaceDE w:val="false"/>
        <w:ind w:firstLine="708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autoSpaceDE w:val="false"/>
        <w:jc w:val="both"/>
        <w:rPr/>
      </w:pPr>
      <w:r>
        <w:rPr/>
        <w:t>Činností, která by mohla narušit veřejný pořádek a občanské soužití v obci Růžová (dále jen „obec“), je používání zábavní pyrotechniky v intenzitě, kdy hluk přesáhne na veřejné prostranství nebo naruší veřejný pořádek v obci (dále jen „používání hlučné zábavní pyrotechniky“). </w:t>
      </w:r>
    </w:p>
    <w:p>
      <w:pPr>
        <w:pStyle w:val="Normal"/>
        <w:numPr>
          <w:ilvl w:val="0"/>
          <w:numId w:val="2"/>
        </w:numPr>
        <w:autoSpaceDE w:val="false"/>
        <w:jc w:val="both"/>
        <w:rPr/>
      </w:pPr>
      <w:r>
        <w:rPr/>
        <w:t>Dlouhodobé hlukové zatížení životního prostředí a ochranu před hlukem, který svou velkou intenzitou a délkou trvání hlukové zátěže může ohrozit zdraví obyvatelstva, upravují zvláštní zákony.</w:t>
      </w:r>
      <w:r>
        <w:rPr>
          <w:rStyle w:val="FootnoteCharacters"/>
          <w:rStyle w:val="FootnoteAnchor"/>
        </w:rPr>
        <w:footnoteReference w:id="2"/>
      </w:r>
      <w:r>
        <w:rPr>
          <w:vertAlign w:val="superscript"/>
        </w:rPr>
        <w:t>)</w:t>
      </w:r>
    </w:p>
    <w:p>
      <w:pPr>
        <w:pStyle w:val="Normal"/>
        <w:numPr>
          <w:ilvl w:val="0"/>
          <w:numId w:val="2"/>
        </w:numPr>
        <w:autoSpaceDE w:val="false"/>
        <w:jc w:val="both"/>
        <w:rPr/>
      </w:pPr>
      <w:r>
        <w:rPr/>
        <w:t>Cílem této obecně závazné vyhlášky je zlepšení pohody bydlení a pobytu v otevřených prostorech celého území obce s výjimkou území Národního parku České Švýcarsko</w:t>
      </w:r>
      <w:r>
        <w:rPr>
          <w:rStyle w:val="FootnoteCharacters"/>
          <w:rStyle w:val="FootnoteAnchor"/>
        </w:rPr>
        <w:footnoteReference w:id="3"/>
      </w:r>
      <w:r>
        <w:rPr>
          <w:vertAlign w:val="superscript"/>
        </w:rPr>
        <w:t>)</w:t>
      </w:r>
      <w:r>
        <w:rPr/>
        <w:t>, a to přiměřeným omezením činnosti uvedené v odst. 1, jakož i zmírnění takového omezení ve výjimečných případech, a to prostřednictvím stanovení konkrétních výjimek.</w:t>
      </w:r>
    </w:p>
    <w:p>
      <w:pPr>
        <w:pStyle w:val="Normal"/>
        <w:numPr>
          <w:ilvl w:val="0"/>
          <w:numId w:val="2"/>
        </w:numPr>
        <w:autoSpaceDE w:val="false"/>
        <w:jc w:val="both"/>
        <w:rPr/>
      </w:pPr>
      <w:r>
        <w:rPr/>
        <w:t>Ochranu nočního klidu upravuje zvláštní zákon.</w:t>
      </w:r>
      <w:r>
        <w:rPr>
          <w:rStyle w:val="FootnoteCharacters"/>
          <w:rStyle w:val="FootnoteAnchor"/>
        </w:rPr>
        <w:footnoteReference w:id="4"/>
      </w:r>
      <w:r>
        <w:rPr>
          <w:vertAlign w:val="superscript"/>
        </w:rPr>
        <w:t>)</w:t>
      </w:r>
    </w:p>
    <w:p>
      <w:pPr>
        <w:pStyle w:val="Normal"/>
        <w:autoSpaceDE w:val="false"/>
        <w:ind w:firstLine="708"/>
        <w:jc w:val="both"/>
        <w:rPr/>
      </w:pPr>
      <w:r>
        <w:rPr/>
      </w:r>
    </w:p>
    <w:p>
      <w:pPr>
        <w:pStyle w:val="Normal"/>
        <w:autoSpaceDE w:val="false"/>
        <w:jc w:val="center"/>
        <w:rPr/>
      </w:pPr>
      <w:r>
        <w:rPr>
          <w:b/>
          <w:bCs/>
        </w:rPr>
        <w:t>Článek 2</w:t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  <w:t>Omezení používání hlučné zábavní pyrotechniky</w:t>
      </w:r>
    </w:p>
    <w:p>
      <w:pPr>
        <w:pStyle w:val="Normal"/>
        <w:autoSpaceDE w:val="fals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autoSpaceDE w:val="false"/>
        <w:jc w:val="both"/>
        <w:rPr/>
      </w:pPr>
      <w:r>
        <w:rPr/>
        <w:t>Používání hlučné zábavní pyrotechniky je zakázáno na všech místech v obci s výjimkou území Národního parku České Švýcarsko.</w:t>
      </w:r>
      <w:r>
        <w:rPr>
          <w:rStyle w:val="FootnoteCharacters"/>
        </w:rPr>
        <w:t>2</w:t>
      </w:r>
      <w:r>
        <w:rPr>
          <w:vertAlign w:val="superscript"/>
        </w:rPr>
        <w:t>)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  <w:t>Článek 3</w:t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  <w:t>Výjimky z omezení používání hlučné zábavní pyrotechniky</w:t>
      </w:r>
    </w:p>
    <w:p>
      <w:pPr>
        <w:pStyle w:val="Normal"/>
        <w:autoSpaceDE w:val="false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autoSpaceDE w:val="false"/>
        <w:jc w:val="both"/>
        <w:rPr/>
      </w:pPr>
      <w:r>
        <w:rPr/>
        <w:t>Zákaz podle čl. 2 této vyhlášky neplatí:</w:t>
      </w:r>
    </w:p>
    <w:p>
      <w:pPr>
        <w:pStyle w:val="Normal"/>
        <w:numPr>
          <w:ilvl w:val="0"/>
          <w:numId w:val="1"/>
        </w:numPr>
        <w:autoSpaceDE w:val="false"/>
        <w:jc w:val="both"/>
        <w:rPr/>
      </w:pPr>
      <w:r>
        <w:rPr/>
        <w:t>v zastavěném území obce od 21:00 hodin do 22:00 hodin dne 30. 4.;</w:t>
      </w:r>
    </w:p>
    <w:p>
      <w:pPr>
        <w:pStyle w:val="Normal"/>
        <w:numPr>
          <w:ilvl w:val="0"/>
          <w:numId w:val="1"/>
        </w:numPr>
        <w:autoSpaceDE w:val="false"/>
        <w:jc w:val="both"/>
        <w:rPr/>
      </w:pPr>
      <w:r>
        <w:rPr/>
        <w:t>v zastavěném území obce od 24:00 hodin do 01:00 hodin dne 1.1.</w:t>
      </w:r>
    </w:p>
    <w:p>
      <w:pPr>
        <w:pStyle w:val="Normal"/>
        <w:autoSpaceDE w:val="false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autoSpaceDE w:val="false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  <w:t>Článek 4</w:t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  <w:t>Účinnost</w:t>
      </w:r>
    </w:p>
    <w:p>
      <w:pPr>
        <w:pStyle w:val="Normal"/>
        <w:autoSpaceDE w:val="fals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Tato vyhláška nabývá účinnosti patnáctým dnem po dni jejího vyhlášení.</w:t>
        <w:br/>
      </w:r>
    </w:p>
    <w:p>
      <w:pPr>
        <w:pStyle w:val="Normal"/>
        <w:autoSpaceDE w:val="false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TextBody"/>
        <w:spacing w:before="0" w:after="0"/>
        <w:rPr/>
      </w:pPr>
      <w:r>
        <w:rPr/>
      </w:r>
    </w:p>
    <w:tbl>
      <w:tblPr>
        <w:tblW w:w="97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4889"/>
      </w:tblGrid>
      <w:tr>
        <w:trPr/>
        <w:tc>
          <w:tcPr>
            <w:tcW w:w="4889" w:type="dxa"/>
            <w:tcBorders/>
          </w:tcPr>
          <w:p>
            <w:pPr>
              <w:pStyle w:val="TextBody"/>
              <w:spacing w:before="0" w:after="0"/>
              <w:jc w:val="center"/>
              <w:rPr/>
            </w:pPr>
            <w:r>
              <w:rPr/>
              <w:t>......................................................</w:t>
            </w:r>
          </w:p>
        </w:tc>
        <w:tc>
          <w:tcPr>
            <w:tcW w:w="4889" w:type="dxa"/>
            <w:tcBorders/>
          </w:tcPr>
          <w:p>
            <w:pPr>
              <w:pStyle w:val="TextBody"/>
              <w:spacing w:before="0" w:after="0"/>
              <w:jc w:val="center"/>
              <w:rPr/>
            </w:pPr>
            <w:r>
              <w:rPr/>
              <w:t>......................................................</w:t>
            </w:r>
          </w:p>
        </w:tc>
      </w:tr>
      <w:tr>
        <w:trPr/>
        <w:tc>
          <w:tcPr>
            <w:tcW w:w="4889" w:type="dxa"/>
            <w:tcBorders/>
          </w:tcPr>
          <w:p>
            <w:pPr>
              <w:pStyle w:val="TextBody"/>
              <w:spacing w:before="0" w:after="0"/>
              <w:jc w:val="center"/>
              <w:rPr>
                <w:lang w:val="cs-CZ"/>
              </w:rPr>
            </w:pPr>
            <w:r>
              <w:rPr>
                <w:lang w:val="cs-CZ"/>
              </w:rPr>
              <w:t>Ing. Radka Sahulová</w:t>
            </w:r>
          </w:p>
          <w:p>
            <w:pPr>
              <w:pStyle w:val="TextBody"/>
              <w:spacing w:before="0" w:after="0"/>
              <w:jc w:val="center"/>
              <w:rPr/>
            </w:pPr>
            <w:r>
              <w:rPr/>
              <w:t>místostarosta</w:t>
            </w:r>
          </w:p>
        </w:tc>
        <w:tc>
          <w:tcPr>
            <w:tcW w:w="4889" w:type="dxa"/>
            <w:tcBorders/>
          </w:tcPr>
          <w:p>
            <w:pPr>
              <w:pStyle w:val="TextBody"/>
              <w:spacing w:before="0" w:after="0"/>
              <w:jc w:val="center"/>
              <w:rPr>
                <w:lang w:val="cs-CZ"/>
              </w:rPr>
            </w:pPr>
            <w:r>
              <w:rPr>
                <w:lang w:val="cs-CZ"/>
              </w:rPr>
              <w:t>Helena Křížková</w:t>
            </w:r>
          </w:p>
          <w:p>
            <w:pPr>
              <w:pStyle w:val="TextBody"/>
              <w:spacing w:before="0" w:after="0"/>
              <w:jc w:val="center"/>
              <w:rPr/>
            </w:pPr>
            <w:r>
              <w:rPr/>
              <w:t>starosta</w:t>
            </w:r>
          </w:p>
        </w:tc>
      </w:tr>
    </w:tbl>
    <w:p>
      <w:pPr>
        <w:pStyle w:val="TextBody"/>
        <w:spacing w:before="0" w:after="0"/>
        <w:rPr/>
      </w:pPr>
      <w:r>
        <w:rPr/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p>
      <w:pPr>
        <w:pStyle w:val="Zkladntext3"/>
        <w:rPr>
          <w:szCs w:val="24"/>
        </w:rPr>
      </w:pPr>
      <w:r>
        <w:rPr>
          <w:szCs w:val="24"/>
        </w:rPr>
        <w:t>Vyvěšeno na úřední desce dne:</w:t>
        <w:tab/>
        <w:t>17.3.2023</w:t>
      </w:r>
    </w:p>
    <w:p>
      <w:pPr>
        <w:pStyle w:val="Zkladntext3"/>
        <w:rPr>
          <w:color w:val="0000FF"/>
          <w:szCs w:val="24"/>
        </w:rPr>
      </w:pPr>
      <w:r>
        <w:rPr>
          <w:szCs w:val="24"/>
        </w:rPr>
        <w:t xml:space="preserve">Sejmuto z úřední desky dne: </w:t>
        <w:tab/>
        <w:tab/>
        <w:t>4.4.2023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>
          <w:vertAlign w:val="superscript"/>
        </w:rPr>
        <w:t>)</w:t>
      </w:r>
      <w:r>
        <w:rPr/>
        <w:t> např. zákon č. 258/2000 Sb., o ochraně veřejného zdraví, ve znění pozdějších předpisů</w:t>
      </w:r>
    </w:p>
  </w:footnote>
  <w:footnote w:id="3">
    <w:p>
      <w:pPr>
        <w:pStyle w:val="Footnote"/>
        <w:ind w:left="198" w:hanging="198"/>
        <w:jc w:val="both"/>
        <w:rPr/>
      </w:pPr>
      <w:r>
        <w:rPr>
          <w:rStyle w:val="FootnoteCharacters"/>
        </w:rPr>
        <w:footnoteRef/>
      </w:r>
      <w:r>
        <w:rPr>
          <w:vertAlign w:val="superscript"/>
        </w:rPr>
        <w:tab/>
        <w:t>)</w:t>
      </w:r>
      <w:r>
        <w:rPr/>
        <w:t> provádění ohňostrojů a používání zábavní pyrotechniky je na území národních parků zakázáno § 16 odst. 1 písm. k) zákona č. 114/1992 Sb., o ochraně přírody a krajin, ve znění pozdějších předpisů</w:t>
      </w:r>
    </w:p>
  </w:footnote>
  <w:footnote w:id="4">
    <w:p>
      <w:pPr>
        <w:pStyle w:val="Footnote"/>
        <w:ind w:left="170" w:hanging="170"/>
        <w:jc w:val="both"/>
        <w:rPr/>
      </w:pPr>
      <w:r>
        <w:rPr>
          <w:rStyle w:val="FootnoteCharacters"/>
        </w:rPr>
        <w:footnoteRef/>
      </w:r>
      <w:r>
        <w:rPr>
          <w:vertAlign w:val="superscript"/>
        </w:rPr>
        <w:tab/>
        <w:t>)</w:t>
      </w:r>
      <w:r>
        <w:rPr/>
        <w:t xml:space="preserve"> ustanovení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rPr/>
        <w:t>a § 5 odst. 6 zákona č. 251/2016 Sb., o některých přestupcích, ve znění pozdějších předpisů</w:t>
      </w:r>
      <w:r>
        <w:rPr>
          <w:i/>
        </w:rPr>
        <w:t xml:space="preserve"> (Dobou nočního klidu se rozumí doba od dvacáté druhé do šesté hodiny.)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dstrike w:val="false"/>
        <w:strike w:val="false"/>
        <w:b w:val="false"/>
        <w:rFonts w:ascii="Times New Roman" w:hAnsi="Times New Roman" w:eastAsia="Times New Roman"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4z1">
    <w:name w:val="WW8Num4z1"/>
    <w:qFormat/>
    <w:rPr>
      <w:rFonts w:ascii="Times New Roman" w:hAnsi="Times New Roman" w:eastAsia="Times New Roman" w:cs="Times New Roman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5z1">
    <w:name w:val="WW8Num5z1"/>
    <w:qFormat/>
    <w:rPr>
      <w:rFonts w:ascii="Times New Roman" w:hAnsi="Times New Roman" w:eastAsia="Times New Roman" w:cs="Times New Roman"/>
    </w:rPr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position w:val="0"/>
      <w:sz w:val="24"/>
      <w:vertAlign w:val="baseline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 New Roman" w:hAnsi="Times New Roman" w:eastAsia="Times New Roman" w:cs="Times New Roman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 New Roman" w:hAnsi="Times New Roman" w:eastAsia="Times New Roman" w:cs="Times New Roman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21z1">
    <w:name w:val="WW8Num21z1"/>
    <w:qFormat/>
    <w:rPr>
      <w:rFonts w:ascii="Times New Roman" w:hAnsi="Times New Roman" w:eastAsia="Times New Roman" w:cs="Times New Roman"/>
    </w:rPr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Symbol" w:hAnsi="Symbol" w:eastAsia="Times New Roman" w:cs="Times New Roman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23z1">
    <w:name w:val="WW8Num23z1"/>
    <w:qFormat/>
    <w:rPr>
      <w:rFonts w:ascii="Times New Roman" w:hAnsi="Times New Roman" w:eastAsia="Times New Roman" w:cs="Times New Roman"/>
    </w:rPr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Times New Roman" w:hAnsi="Times New Roman" w:eastAsia="Times New Roman" w:cs="Times New Roman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Standardnpsmoodstavce">
    <w:name w:val="Standardní písmo odstavce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ZkladntextChar">
    <w:name w:val="Základní text Char"/>
    <w:qFormat/>
    <w:rPr>
      <w:sz w:val="24"/>
      <w:szCs w:val="24"/>
    </w:rPr>
  </w:style>
  <w:style w:type="character" w:styleId="TextpoznpodarouChar">
    <w:name w:val="Text pozn. pod čarou Char"/>
    <w:basedOn w:val="Standardnpsmoodstavce"/>
    <w:qFormat/>
    <w:rPr/>
  </w:style>
  <w:style w:type="character" w:styleId="InternetLink">
    <w:name w:val="Hyperlink"/>
    <w:rPr>
      <w:color w:val="0563C1"/>
      <w:u w:val="single"/>
    </w:rPr>
  </w:style>
  <w:style w:type="character" w:styleId="ProsttextChar">
    <w:name w:val="Prostý text Char"/>
    <w:qFormat/>
    <w:rPr>
      <w:rFonts w:ascii="Courier New" w:hAnsi="Courier New" w:cs="Courier New"/>
      <w:lang w:val="en-US"/>
    </w:rPr>
  </w:style>
  <w:style w:type="character" w:styleId="ZhlavChar">
    <w:name w:val="Záhlaví Char"/>
    <w:qFormat/>
    <w:rPr>
      <w:sz w:val="24"/>
      <w:szCs w:val="24"/>
    </w:rPr>
  </w:style>
  <w:style w:type="character" w:styleId="ZpatChar">
    <w:name w:val="Zápatí Char"/>
    <w:qFormat/>
    <w:rPr>
      <w:sz w:val="24"/>
      <w:szCs w:val="24"/>
    </w:rPr>
  </w:style>
  <w:style w:type="character" w:styleId="Standardnpsmoodstavce1">
    <w:name w:val="Standardní písmo odstavce1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zxx" w:eastAsia="zxx" w:bidi="zxx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Zkladntext3">
    <w:name w:val="Základní text 3"/>
    <w:basedOn w:val="Normal"/>
    <w:qFormat/>
    <w:pPr>
      <w:jc w:val="both"/>
    </w:pPr>
    <w:rPr>
      <w:bCs/>
      <w:szCs w:val="20"/>
    </w:rPr>
  </w:style>
  <w:style w:type="paragraph" w:styleId="ZkladntextIMP">
    <w:name w:val="Základní text_IMP"/>
    <w:basedOn w:val="Normal"/>
    <w:qFormat/>
    <w:pPr>
      <w:suppressAutoHyphens w:val="true"/>
      <w:overflowPunct w:val="false"/>
      <w:autoSpaceDE w:val="false"/>
      <w:spacing w:lineRule="auto" w:line="276"/>
      <w:ind w:left="480" w:hanging="0"/>
    </w:pPr>
    <w:rPr>
      <w:rFonts w:ascii="Arial" w:hAnsi="Arial" w:cs="Arial"/>
      <w:szCs w:val="20"/>
    </w:rPr>
  </w:style>
  <w:style w:type="paragraph" w:styleId="Prosttext">
    <w:name w:val="Prostý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ln1">
    <w:name w:val="Normální1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eastAsia="zh-CN" w:bidi="ar-SA"/>
    </w:rPr>
  </w:style>
  <w:style w:type="paragraph" w:styleId="Standard">
    <w:name w:val="standard"/>
    <w:basedOn w:val="Normal"/>
    <w:qFormat/>
    <w:pPr>
      <w:widowControl w:val="false"/>
      <w:autoSpaceDE w:val="false"/>
      <w:spacing w:before="113" w:after="0"/>
      <w:ind w:firstLine="567"/>
    </w:pPr>
    <w:rPr>
      <w:color w:val="FAD17C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LibreOffice/7.2.1.2$Linux_X86_64 LibreOffice_project/87b77fad49947c1441b67c559c339af8f3517e22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2023-01-18T13:30:00Z</dcterms:created>
  <dc:creator>Standard</dc:creator>
  <dc:description/>
  <cp:keywords> </cp:keywords>
  <dc:language>en-US</dc:language>
  <cp:lastModifiedBy>ORuzova</cp:lastModifiedBy>
  <cp:lastPrinted>2023-03-22T15:27:00Z</cp:lastPrinted>
  <dcterms:modified xsi:type="dcterms:W3CDTF">2023-03-22T14:27:00Z</dcterms:modified>
  <cp:revision>8</cp:revision>
  <dc:subject/>
  <dc:title>Petrovice</dc:title>
</cp:coreProperties>
</file>