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186" w14:textId="53804E8D" w:rsidR="007E1DB2" w:rsidRPr="00CA6247" w:rsidRDefault="007E1DB2" w:rsidP="00463FEE">
      <w:pPr>
        <w:rPr>
          <w:bCs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</w:t>
      </w:r>
    </w:p>
    <w:p w14:paraId="70DED65A" w14:textId="77777777" w:rsidR="0024722A" w:rsidRDefault="0024722A">
      <w:pPr>
        <w:pStyle w:val="Zhlav"/>
        <w:tabs>
          <w:tab w:val="clear" w:pos="4536"/>
          <w:tab w:val="clear" w:pos="9072"/>
        </w:tabs>
        <w:rPr>
          <w:bCs/>
        </w:rPr>
      </w:pPr>
    </w:p>
    <w:p w14:paraId="2FD22F23" w14:textId="2E169704" w:rsidR="00047D7A" w:rsidRPr="0047068F" w:rsidRDefault="00047D7A" w:rsidP="00047D7A">
      <w:pPr>
        <w:tabs>
          <w:tab w:val="left" w:pos="3544"/>
        </w:tabs>
        <w:jc w:val="center"/>
        <w:rPr>
          <w:rFonts w:ascii="Arial" w:hAnsi="Arial" w:cs="Arial"/>
          <w:b/>
          <w:bCs/>
        </w:rPr>
      </w:pPr>
      <w:r w:rsidRPr="0047068F">
        <w:rPr>
          <w:rFonts w:ascii="Arial" w:hAnsi="Arial" w:cs="Arial"/>
          <w:b/>
          <w:bCs/>
        </w:rPr>
        <w:t>OBEC</w:t>
      </w:r>
      <w:r w:rsidR="002535CF">
        <w:rPr>
          <w:rFonts w:ascii="Arial" w:hAnsi="Arial" w:cs="Arial"/>
          <w:b/>
          <w:bCs/>
        </w:rPr>
        <w:t xml:space="preserve"> CHUDČICE</w:t>
      </w:r>
    </w:p>
    <w:p w14:paraId="2D670FAF" w14:textId="3CF6FA7E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  <w:bCs/>
        </w:rPr>
        <w:t xml:space="preserve">Zastupitelstvo obce </w:t>
      </w:r>
      <w:r w:rsidR="002535CF">
        <w:rPr>
          <w:rFonts w:ascii="Arial" w:hAnsi="Arial" w:cs="Arial"/>
          <w:b/>
        </w:rPr>
        <w:t>Chudčice</w:t>
      </w:r>
    </w:p>
    <w:p w14:paraId="65D1685D" w14:textId="7DD68206" w:rsidR="00047D7A" w:rsidRPr="0047068F" w:rsidRDefault="00047D7A" w:rsidP="00047D7A">
      <w:pPr>
        <w:spacing w:line="276" w:lineRule="auto"/>
        <w:jc w:val="center"/>
        <w:rPr>
          <w:rFonts w:ascii="Arial" w:hAnsi="Arial" w:cs="Arial"/>
          <w:b/>
        </w:rPr>
      </w:pPr>
      <w:r w:rsidRPr="0047068F">
        <w:rPr>
          <w:rFonts w:ascii="Arial" w:hAnsi="Arial" w:cs="Arial"/>
          <w:b/>
        </w:rPr>
        <w:t xml:space="preserve">Obecně závazná vyhláška obce </w:t>
      </w:r>
      <w:r w:rsidR="002535CF">
        <w:rPr>
          <w:rFonts w:ascii="Arial" w:hAnsi="Arial" w:cs="Arial"/>
          <w:b/>
        </w:rPr>
        <w:t>Chudčice</w:t>
      </w:r>
      <w:r w:rsidRPr="0047068F">
        <w:rPr>
          <w:rFonts w:ascii="Arial" w:hAnsi="Arial" w:cs="Arial"/>
          <w:b/>
        </w:rPr>
        <w:t>,</w:t>
      </w:r>
    </w:p>
    <w:p w14:paraId="2D9DB60A" w14:textId="77777777" w:rsidR="005545D7" w:rsidRDefault="005545D7" w:rsidP="005545D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5D79F3" w14:textId="77777777" w:rsidR="005545D7" w:rsidRDefault="005545D7" w:rsidP="005545D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1B1C0A5D" w14:textId="77777777" w:rsidR="005545D7" w:rsidRDefault="005545D7" w:rsidP="005545D7">
      <w:pPr>
        <w:rPr>
          <w:rFonts w:ascii="Arial" w:hAnsi="Arial" w:cs="Arial"/>
          <w:b/>
          <w:sz w:val="22"/>
          <w:szCs w:val="22"/>
          <w:u w:val="single"/>
        </w:rPr>
      </w:pPr>
    </w:p>
    <w:p w14:paraId="16086D96" w14:textId="0B471D4B" w:rsidR="00F07AB1" w:rsidRDefault="005545D7" w:rsidP="00F07AB1">
      <w:pPr>
        <w:contextualSpacing/>
        <w:jc w:val="both"/>
        <w:rPr>
          <w:rFonts w:cstheme="minorHAnsi"/>
          <w:b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2535CF">
        <w:rPr>
          <w:rFonts w:ascii="Arial" w:hAnsi="Arial" w:cs="Arial"/>
          <w:sz w:val="22"/>
          <w:szCs w:val="22"/>
        </w:rPr>
        <w:t xml:space="preserve">Chudčice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F07AB1" w:rsidRPr="00295849">
        <w:rPr>
          <w:rFonts w:ascii="Arial" w:hAnsi="Arial" w:cs="Arial"/>
          <w:sz w:val="22"/>
          <w:szCs w:val="22"/>
        </w:rPr>
        <w:t>26.</w:t>
      </w:r>
      <w:r w:rsidR="00295849" w:rsidRPr="00295849">
        <w:rPr>
          <w:rFonts w:ascii="Arial" w:hAnsi="Arial" w:cs="Arial"/>
          <w:sz w:val="22"/>
          <w:szCs w:val="22"/>
        </w:rPr>
        <w:t xml:space="preserve"> </w:t>
      </w:r>
      <w:r w:rsidR="00F07AB1" w:rsidRPr="00295849">
        <w:rPr>
          <w:rFonts w:ascii="Arial" w:hAnsi="Arial" w:cs="Arial"/>
          <w:sz w:val="22"/>
          <w:szCs w:val="22"/>
        </w:rPr>
        <w:t>6.</w:t>
      </w:r>
      <w:r w:rsidR="00295849" w:rsidRPr="00295849">
        <w:rPr>
          <w:rFonts w:ascii="Arial" w:hAnsi="Arial" w:cs="Arial"/>
          <w:sz w:val="22"/>
          <w:szCs w:val="22"/>
        </w:rPr>
        <w:t xml:space="preserve"> </w:t>
      </w:r>
      <w:r w:rsidR="00F07AB1" w:rsidRPr="00295849">
        <w:rPr>
          <w:rFonts w:ascii="Arial" w:hAnsi="Arial" w:cs="Arial"/>
          <w:sz w:val="22"/>
          <w:szCs w:val="22"/>
        </w:rPr>
        <w:t>2023</w:t>
      </w:r>
      <w:r w:rsidRPr="00295849">
        <w:rPr>
          <w:rFonts w:ascii="Arial" w:hAnsi="Arial" w:cs="Arial"/>
          <w:sz w:val="22"/>
          <w:szCs w:val="22"/>
        </w:rPr>
        <w:t xml:space="preserve"> usnesením č. </w:t>
      </w:r>
      <w:r w:rsidR="00F07AB1" w:rsidRPr="00295849">
        <w:rPr>
          <w:rFonts w:ascii="Arial" w:hAnsi="Arial" w:cs="Arial"/>
          <w:sz w:val="22"/>
          <w:szCs w:val="22"/>
        </w:rPr>
        <w:t>66/23/ZO4</w:t>
      </w:r>
    </w:p>
    <w:p w14:paraId="1DC65646" w14:textId="5C60DF05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usneslo vydat na základě ustanovení § 10 písm. d) a ustanovení § 84 odst. 2 písm. h) zákona č. 128/2000 Sb., o obcích (obecní zřízení), ve znění pozdějších předpisů, a na základě ustanovení § </w:t>
      </w:r>
      <w:r w:rsidR="00D0644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</w:t>
      </w:r>
      <w:r w:rsidR="000561E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zákona č. 2</w:t>
      </w:r>
      <w:r w:rsidR="00D06446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/</w:t>
      </w:r>
      <w:r w:rsidR="00D06446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 xml:space="preserve"> Sb., o </w:t>
      </w:r>
      <w:r w:rsidR="00D06446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</w:t>
      </w:r>
      <w:r w:rsidR="000C0C56">
        <w:rPr>
          <w:rFonts w:ascii="Arial" w:hAnsi="Arial" w:cs="Arial"/>
          <w:sz w:val="22"/>
          <w:szCs w:val="22"/>
        </w:rPr>
        <w:t>,</w:t>
      </w:r>
      <w:r w:rsidR="00D06446">
        <w:rPr>
          <w:rFonts w:ascii="Arial" w:hAnsi="Arial" w:cs="Arial"/>
          <w:sz w:val="22"/>
          <w:szCs w:val="22"/>
        </w:rPr>
        <w:t xml:space="preserve"> </w:t>
      </w:r>
      <w:r w:rsidR="00170654">
        <w:rPr>
          <w:rFonts w:ascii="Arial" w:hAnsi="Arial" w:cs="Arial"/>
          <w:sz w:val="22"/>
          <w:szCs w:val="22"/>
        </w:rPr>
        <w:t xml:space="preserve">ve znění pozdějších předpisů, </w:t>
      </w:r>
      <w:r>
        <w:rPr>
          <w:rFonts w:ascii="Arial" w:hAnsi="Arial" w:cs="Arial"/>
          <w:sz w:val="22"/>
          <w:szCs w:val="22"/>
        </w:rPr>
        <w:t>tuto obecně závaznou vyhlášku:</w:t>
      </w:r>
    </w:p>
    <w:p w14:paraId="5CE86FA7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104AA9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780D0BEF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278FC829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51FE9BF1" w14:textId="521BB115" w:rsidR="00887BCF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</w:t>
      </w:r>
      <w:r w:rsidR="00D06446" w:rsidRPr="00F07AB1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4286B23A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470401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2156ED0D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1ED0BE87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4929FA5D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A7699E6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62FAFDC5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51E65A03" w14:textId="57B544FF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</w:t>
      </w:r>
      <w:r w:rsidR="00D06446" w:rsidRPr="00F07AB1">
        <w:rPr>
          <w:rFonts w:ascii="Arial" w:hAnsi="Arial" w:cs="Arial"/>
          <w:b/>
          <w:sz w:val="22"/>
          <w:szCs w:val="22"/>
        </w:rPr>
        <w:t>při nichž nemusí být doba nočního klidu dodržována</w:t>
      </w:r>
    </w:p>
    <w:p w14:paraId="0D181111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2E824876" w14:textId="489CB037" w:rsidR="00887BCF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Doba nočního klidu</w:t>
      </w:r>
      <w:r w:rsidR="00107BCE">
        <w:rPr>
          <w:rFonts w:ascii="Arial" w:hAnsi="Arial" w:cs="Arial"/>
          <w:sz w:val="22"/>
          <w:szCs w:val="22"/>
        </w:rPr>
        <w:t xml:space="preserve"> </w:t>
      </w:r>
      <w:r w:rsidR="00987A7F">
        <w:rPr>
          <w:rFonts w:ascii="Arial" w:hAnsi="Arial" w:cs="Arial"/>
          <w:sz w:val="22"/>
          <w:szCs w:val="22"/>
        </w:rPr>
        <w:t>nemusí být dodrž</w:t>
      </w:r>
      <w:r w:rsidR="00887BCF">
        <w:rPr>
          <w:rFonts w:ascii="Arial" w:hAnsi="Arial" w:cs="Arial"/>
          <w:sz w:val="22"/>
          <w:szCs w:val="22"/>
        </w:rPr>
        <w:t>ována</w:t>
      </w:r>
      <w:r w:rsidR="00987A7F">
        <w:rPr>
          <w:rFonts w:ascii="Arial" w:hAnsi="Arial" w:cs="Arial"/>
          <w:sz w:val="22"/>
          <w:szCs w:val="22"/>
        </w:rPr>
        <w:t>:</w:t>
      </w:r>
    </w:p>
    <w:p w14:paraId="5722ACF5" w14:textId="46D91F0C" w:rsidR="005545D7" w:rsidRDefault="00887BCF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45D7">
        <w:rPr>
          <w:rFonts w:ascii="Arial" w:hAnsi="Arial" w:cs="Arial"/>
          <w:sz w:val="22"/>
          <w:szCs w:val="22"/>
        </w:rPr>
        <w:t xml:space="preserve">) v noci z 31. prosince na 1. </w:t>
      </w:r>
      <w:r>
        <w:rPr>
          <w:rFonts w:ascii="Arial" w:hAnsi="Arial" w:cs="Arial"/>
          <w:sz w:val="22"/>
          <w:szCs w:val="22"/>
        </w:rPr>
        <w:t>l</w:t>
      </w:r>
      <w:r w:rsidR="005545D7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 xml:space="preserve"> z důvodu </w:t>
      </w:r>
      <w:r w:rsidR="00F21B18">
        <w:rPr>
          <w:rFonts w:ascii="Arial" w:hAnsi="Arial" w:cs="Arial"/>
          <w:sz w:val="22"/>
          <w:szCs w:val="22"/>
        </w:rPr>
        <w:t>konání oslav příchodu nového roku</w:t>
      </w:r>
      <w:r w:rsidR="00295849">
        <w:rPr>
          <w:rFonts w:ascii="Arial" w:hAnsi="Arial" w:cs="Arial"/>
          <w:sz w:val="22"/>
          <w:szCs w:val="22"/>
        </w:rPr>
        <w:t>,</w:t>
      </w:r>
    </w:p>
    <w:p w14:paraId="34A87679" w14:textId="1288F56A" w:rsidR="00C56547" w:rsidRDefault="00F21B18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295849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="00C56547">
        <w:rPr>
          <w:rFonts w:ascii="Arial" w:hAnsi="Arial" w:cs="Arial"/>
          <w:sz w:val="22"/>
          <w:szCs w:val="22"/>
        </w:rPr>
        <w:t>noci ze dne konání tradiční akce Tradiční Chudčické krojované hody</w:t>
      </w:r>
      <w:r w:rsidR="00295849">
        <w:rPr>
          <w:rFonts w:ascii="Arial" w:hAnsi="Arial" w:cs="Arial"/>
          <w:sz w:val="22"/>
          <w:szCs w:val="22"/>
        </w:rPr>
        <w:t xml:space="preserve">, konané </w:t>
      </w:r>
      <w:r w:rsidR="001B193F">
        <w:rPr>
          <w:rFonts w:ascii="Arial" w:hAnsi="Arial" w:cs="Arial"/>
          <w:sz w:val="22"/>
          <w:szCs w:val="22"/>
        </w:rPr>
        <w:t>první</w:t>
      </w:r>
      <w:r w:rsidR="00C56547">
        <w:rPr>
          <w:rFonts w:ascii="Arial" w:hAnsi="Arial" w:cs="Arial"/>
          <w:sz w:val="22"/>
          <w:szCs w:val="22"/>
        </w:rPr>
        <w:t xml:space="preserve"> </w:t>
      </w:r>
      <w:r w:rsidR="00295849">
        <w:rPr>
          <w:rFonts w:ascii="Arial" w:hAnsi="Arial" w:cs="Arial"/>
          <w:sz w:val="22"/>
          <w:szCs w:val="22"/>
        </w:rPr>
        <w:t xml:space="preserve">květnový </w:t>
      </w:r>
      <w:r w:rsidR="00C56547">
        <w:rPr>
          <w:rFonts w:ascii="Arial" w:hAnsi="Arial" w:cs="Arial"/>
          <w:sz w:val="22"/>
          <w:szCs w:val="22"/>
        </w:rPr>
        <w:t>víkend</w:t>
      </w:r>
      <w:r w:rsidR="001B193F">
        <w:rPr>
          <w:rFonts w:ascii="Arial" w:hAnsi="Arial" w:cs="Arial"/>
          <w:sz w:val="22"/>
          <w:szCs w:val="22"/>
        </w:rPr>
        <w:t xml:space="preserve"> </w:t>
      </w:r>
      <w:r w:rsidR="00C56547">
        <w:rPr>
          <w:rFonts w:ascii="Arial" w:hAnsi="Arial" w:cs="Arial"/>
          <w:sz w:val="22"/>
          <w:szCs w:val="22"/>
        </w:rPr>
        <w:t>z pátku na sobotu a v noci ze soboty na neděli</w:t>
      </w:r>
      <w:r w:rsidR="00295849">
        <w:rPr>
          <w:rFonts w:ascii="Arial" w:hAnsi="Arial" w:cs="Arial"/>
          <w:sz w:val="22"/>
          <w:szCs w:val="22"/>
        </w:rPr>
        <w:t>,</w:t>
      </w:r>
    </w:p>
    <w:p w14:paraId="202F6D00" w14:textId="2B3BA61F" w:rsidR="00581E7B" w:rsidRDefault="00581E7B" w:rsidP="00581E7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C56547">
        <w:rPr>
          <w:rFonts w:ascii="Arial" w:hAnsi="Arial" w:cs="Arial"/>
          <w:sz w:val="22"/>
          <w:szCs w:val="22"/>
        </w:rPr>
        <w:t xml:space="preserve">v noci ze dne konání </w:t>
      </w:r>
      <w:r w:rsidR="00F07AB1">
        <w:rPr>
          <w:rFonts w:ascii="Arial" w:hAnsi="Arial" w:cs="Arial"/>
          <w:sz w:val="22"/>
          <w:szCs w:val="22"/>
        </w:rPr>
        <w:t>Hurá na prázdniny</w:t>
      </w:r>
      <w:r w:rsidR="00C56547">
        <w:rPr>
          <w:rFonts w:ascii="Arial" w:hAnsi="Arial" w:cs="Arial"/>
          <w:sz w:val="22"/>
          <w:szCs w:val="22"/>
        </w:rPr>
        <w:t xml:space="preserve"> na den následující</w:t>
      </w:r>
      <w:r w:rsidR="00295849">
        <w:rPr>
          <w:rFonts w:ascii="Arial" w:hAnsi="Arial" w:cs="Arial"/>
          <w:sz w:val="22"/>
          <w:szCs w:val="22"/>
        </w:rPr>
        <w:t>,</w:t>
      </w:r>
      <w:r w:rsidR="00C56547">
        <w:rPr>
          <w:rFonts w:ascii="Arial" w:hAnsi="Arial" w:cs="Arial"/>
          <w:sz w:val="22"/>
          <w:szCs w:val="22"/>
        </w:rPr>
        <w:t xml:space="preserve"> konané první červencový víkend v noci z</w:t>
      </w:r>
      <w:r w:rsidR="00F07AB1">
        <w:rPr>
          <w:rFonts w:ascii="Arial" w:hAnsi="Arial" w:cs="Arial"/>
          <w:sz w:val="22"/>
          <w:szCs w:val="22"/>
        </w:rPr>
        <w:t>e soboty</w:t>
      </w:r>
      <w:r w:rsidR="00C56547">
        <w:rPr>
          <w:rFonts w:ascii="Arial" w:hAnsi="Arial" w:cs="Arial"/>
          <w:sz w:val="22"/>
          <w:szCs w:val="22"/>
        </w:rPr>
        <w:t xml:space="preserve"> na</w:t>
      </w:r>
      <w:r w:rsidR="00F07AB1">
        <w:rPr>
          <w:rFonts w:ascii="Arial" w:hAnsi="Arial" w:cs="Arial"/>
          <w:sz w:val="22"/>
          <w:szCs w:val="22"/>
        </w:rPr>
        <w:t xml:space="preserve"> neděli</w:t>
      </w:r>
      <w:r w:rsidR="00295849">
        <w:rPr>
          <w:rFonts w:ascii="Arial" w:hAnsi="Arial" w:cs="Arial"/>
          <w:sz w:val="22"/>
          <w:szCs w:val="22"/>
        </w:rPr>
        <w:t>,</w:t>
      </w:r>
    </w:p>
    <w:p w14:paraId="6E4B673F" w14:textId="2A60B919" w:rsidR="005545D7" w:rsidRPr="00557C94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C56547">
        <w:rPr>
          <w:rFonts w:ascii="Arial" w:hAnsi="Arial" w:cs="Arial"/>
          <w:sz w:val="22"/>
          <w:szCs w:val="22"/>
        </w:rPr>
        <w:t xml:space="preserve">v noci ze dne konání </w:t>
      </w:r>
      <w:r w:rsidR="00F07AB1">
        <w:rPr>
          <w:rFonts w:ascii="Arial" w:hAnsi="Arial" w:cs="Arial"/>
          <w:sz w:val="22"/>
          <w:szCs w:val="22"/>
        </w:rPr>
        <w:t xml:space="preserve">Setkání </w:t>
      </w:r>
      <w:proofErr w:type="spellStart"/>
      <w:r w:rsidR="00F07AB1">
        <w:rPr>
          <w:rFonts w:ascii="Arial" w:hAnsi="Arial" w:cs="Arial"/>
          <w:sz w:val="22"/>
          <w:szCs w:val="22"/>
        </w:rPr>
        <w:t>Chudčičáků</w:t>
      </w:r>
      <w:proofErr w:type="spellEnd"/>
      <w:r w:rsidR="00C56547">
        <w:rPr>
          <w:rFonts w:ascii="Arial" w:hAnsi="Arial" w:cs="Arial"/>
          <w:sz w:val="22"/>
          <w:szCs w:val="22"/>
        </w:rPr>
        <w:t xml:space="preserve"> na den následující</w:t>
      </w:r>
      <w:r w:rsidR="00295849">
        <w:rPr>
          <w:rFonts w:ascii="Arial" w:hAnsi="Arial" w:cs="Arial"/>
          <w:sz w:val="22"/>
          <w:szCs w:val="22"/>
        </w:rPr>
        <w:t>,</w:t>
      </w:r>
      <w:r w:rsidR="00C56547">
        <w:rPr>
          <w:rFonts w:ascii="Arial" w:hAnsi="Arial" w:cs="Arial"/>
          <w:sz w:val="22"/>
          <w:szCs w:val="22"/>
        </w:rPr>
        <w:t xml:space="preserve"> konané poslední srpnový víkend v noci ze soboty na neděli</w:t>
      </w:r>
      <w:r w:rsidR="00295849">
        <w:rPr>
          <w:rFonts w:ascii="Arial" w:hAnsi="Arial" w:cs="Arial"/>
          <w:sz w:val="22"/>
          <w:szCs w:val="22"/>
        </w:rPr>
        <w:t>,</w:t>
      </w:r>
    </w:p>
    <w:p w14:paraId="5DC4D232" w14:textId="5BA9B2A5" w:rsidR="001B193F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1B193F">
        <w:rPr>
          <w:rFonts w:ascii="Arial" w:hAnsi="Arial" w:cs="Arial"/>
          <w:sz w:val="22"/>
          <w:szCs w:val="22"/>
        </w:rPr>
        <w:t xml:space="preserve">v noci ze dne konání tradiční akce </w:t>
      </w:r>
      <w:r w:rsidR="00F07AB1">
        <w:rPr>
          <w:rFonts w:ascii="Arial" w:hAnsi="Arial" w:cs="Arial"/>
          <w:sz w:val="22"/>
          <w:szCs w:val="22"/>
        </w:rPr>
        <w:t>P</w:t>
      </w:r>
      <w:r w:rsidR="001B193F">
        <w:rPr>
          <w:rFonts w:ascii="Arial" w:hAnsi="Arial" w:cs="Arial"/>
          <w:sz w:val="22"/>
          <w:szCs w:val="22"/>
        </w:rPr>
        <w:t>řehlídka lidových tanců na den následující</w:t>
      </w:r>
      <w:r w:rsidR="00295849">
        <w:rPr>
          <w:rFonts w:ascii="Arial" w:hAnsi="Arial" w:cs="Arial"/>
          <w:sz w:val="22"/>
          <w:szCs w:val="22"/>
        </w:rPr>
        <w:t>,</w:t>
      </w:r>
      <w:r w:rsidR="001B193F">
        <w:rPr>
          <w:rFonts w:ascii="Arial" w:hAnsi="Arial" w:cs="Arial"/>
          <w:sz w:val="22"/>
          <w:szCs w:val="22"/>
        </w:rPr>
        <w:t xml:space="preserve"> konané první zářijový víkend v noci ze soboty na neděli</w:t>
      </w:r>
      <w:r w:rsidR="00295849">
        <w:rPr>
          <w:rFonts w:ascii="Arial" w:hAnsi="Arial" w:cs="Arial"/>
          <w:sz w:val="22"/>
          <w:szCs w:val="22"/>
        </w:rPr>
        <w:t>,</w:t>
      </w:r>
    </w:p>
    <w:p w14:paraId="2A19EF1A" w14:textId="1837577C" w:rsidR="001B193F" w:rsidRDefault="001B193F" w:rsidP="001B193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v noci ze dne konání tradičního </w:t>
      </w:r>
      <w:r w:rsidR="00F07AB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osezení u cimbálu na den následující</w:t>
      </w:r>
      <w:r w:rsidR="002958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konané </w:t>
      </w:r>
      <w:r w:rsidR="00F07AB1">
        <w:rPr>
          <w:rFonts w:ascii="Arial" w:hAnsi="Arial" w:cs="Arial"/>
          <w:sz w:val="22"/>
          <w:szCs w:val="22"/>
        </w:rPr>
        <w:t>v měsíci září</w:t>
      </w:r>
      <w:r w:rsidR="00295849">
        <w:rPr>
          <w:rFonts w:ascii="Arial" w:hAnsi="Arial" w:cs="Arial"/>
          <w:sz w:val="22"/>
          <w:szCs w:val="22"/>
        </w:rPr>
        <w:t xml:space="preserve"> </w:t>
      </w:r>
      <w:r w:rsidR="00F07AB1">
        <w:rPr>
          <w:rFonts w:ascii="Arial" w:hAnsi="Arial" w:cs="Arial"/>
          <w:sz w:val="22"/>
          <w:szCs w:val="22"/>
        </w:rPr>
        <w:t>ze soboty na neděli</w:t>
      </w:r>
      <w:r w:rsidR="00295849">
        <w:rPr>
          <w:rFonts w:ascii="Arial" w:hAnsi="Arial" w:cs="Arial"/>
          <w:sz w:val="22"/>
          <w:szCs w:val="22"/>
        </w:rPr>
        <w:t>,</w:t>
      </w:r>
    </w:p>
    <w:p w14:paraId="4AEC6BBF" w14:textId="1E23E6F9" w:rsidR="001B193F" w:rsidRDefault="001B193F" w:rsidP="001B193F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</w:t>
      </w:r>
      <w:r w:rsidRPr="001B19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noci ze dne konání tradiční </w:t>
      </w:r>
      <w:r w:rsidR="0029584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odzimní taškařice na den následující</w:t>
      </w:r>
      <w:r w:rsidR="002958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konané první listopadový víkend v noci ze soboty na neděli</w:t>
      </w:r>
      <w:r w:rsidR="00295849">
        <w:rPr>
          <w:rFonts w:ascii="Arial" w:hAnsi="Arial" w:cs="Arial"/>
          <w:sz w:val="22"/>
          <w:szCs w:val="22"/>
        </w:rPr>
        <w:t>.</w:t>
      </w:r>
    </w:p>
    <w:p w14:paraId="05B7621E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673BC434" w14:textId="61B9AC16" w:rsidR="005545D7" w:rsidRDefault="005545D7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Informace o konkrétním termínu konání akcí uvedených v odst. </w:t>
      </w:r>
      <w:r w:rsidR="00295849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>
        <w:rPr>
          <w:rFonts w:ascii="Arial" w:hAnsi="Arial" w:cs="Arial"/>
          <w:sz w:val="22"/>
          <w:szCs w:val="22"/>
        </w:rPr>
        <w:t xml:space="preserve"> obecně závazné vyhlášky bude zveřejněna obecním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před datem konání. </w:t>
      </w:r>
    </w:p>
    <w:p w14:paraId="638940DD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0B9A52A4" w14:textId="4E7FB6D4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F07AB1">
        <w:rPr>
          <w:rFonts w:ascii="Arial" w:hAnsi="Arial" w:cs="Arial"/>
          <w:b/>
          <w:sz w:val="22"/>
          <w:szCs w:val="22"/>
        </w:rPr>
        <w:t>4</w:t>
      </w:r>
    </w:p>
    <w:p w14:paraId="3A6118B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39FD4A9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452277B7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5657758E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7445ACC3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3001AF6C" w14:textId="46531BDE" w:rsidR="005545D7" w:rsidRDefault="005545D7" w:rsidP="005545D7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BB3A25E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14:paraId="4568CBB6" w14:textId="457F01B0" w:rsidR="005545D7" w:rsidRDefault="00295849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Ing. Jana Deutscherová</w:t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 w:rsidR="005545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Zdeněk Homoláč</w:t>
      </w:r>
    </w:p>
    <w:p w14:paraId="605BDD9B" w14:textId="3470A863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</w:t>
      </w:r>
      <w:r w:rsidR="0029584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14:paraId="3F517101" w14:textId="77777777" w:rsidR="00557C94" w:rsidRPr="00F66F3F" w:rsidRDefault="00F66F3F" w:rsidP="00557C94">
      <w:pPr>
        <w:rPr>
          <w:b/>
        </w:rPr>
      </w:pPr>
      <w:r>
        <w:rPr>
          <w:b/>
        </w:rPr>
        <w:t>_________________________________________________________________________</w:t>
      </w:r>
    </w:p>
    <w:p w14:paraId="32690A35" w14:textId="77777777" w:rsidR="005545D7" w:rsidRDefault="005545D7" w:rsidP="005545D7">
      <w:pPr>
        <w:tabs>
          <w:tab w:val="left" w:pos="284"/>
        </w:tabs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788EFD6" w14:textId="701B5ADE" w:rsidR="00DA328A" w:rsidRPr="00E34AAF" w:rsidRDefault="00DA328A" w:rsidP="00E34AAF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DA328A" w:rsidRPr="00E34AAF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2704" w14:textId="77777777" w:rsidR="00B02AC9" w:rsidRDefault="00B02AC9">
      <w:r>
        <w:separator/>
      </w:r>
    </w:p>
  </w:endnote>
  <w:endnote w:type="continuationSeparator" w:id="0">
    <w:p w14:paraId="207FB951" w14:textId="77777777" w:rsidR="00B02AC9" w:rsidRDefault="00B0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82F4" w14:textId="77777777" w:rsidR="00B02AC9" w:rsidRDefault="00B02AC9">
      <w:r>
        <w:separator/>
      </w:r>
    </w:p>
  </w:footnote>
  <w:footnote w:type="continuationSeparator" w:id="0">
    <w:p w14:paraId="0F65E7E7" w14:textId="77777777" w:rsidR="00B02AC9" w:rsidRDefault="00B02AC9">
      <w:r>
        <w:continuationSeparator/>
      </w:r>
    </w:p>
  </w:footnote>
  <w:footnote w:id="1">
    <w:p w14:paraId="63EE2E7D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437A5BCF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9881311">
    <w:abstractNumId w:val="4"/>
  </w:num>
  <w:num w:numId="2" w16cid:durableId="1641765552">
    <w:abstractNumId w:val="10"/>
  </w:num>
  <w:num w:numId="3" w16cid:durableId="1013846496">
    <w:abstractNumId w:val="3"/>
  </w:num>
  <w:num w:numId="4" w16cid:durableId="1966035563">
    <w:abstractNumId w:val="7"/>
  </w:num>
  <w:num w:numId="5" w16cid:durableId="1930775024">
    <w:abstractNumId w:val="6"/>
  </w:num>
  <w:num w:numId="6" w16cid:durableId="2027057445">
    <w:abstractNumId w:val="9"/>
  </w:num>
  <w:num w:numId="7" w16cid:durableId="1295869715">
    <w:abstractNumId w:val="5"/>
  </w:num>
  <w:num w:numId="8" w16cid:durableId="127089486">
    <w:abstractNumId w:val="0"/>
  </w:num>
  <w:num w:numId="9" w16cid:durableId="903182778">
    <w:abstractNumId w:val="8"/>
  </w:num>
  <w:num w:numId="10" w16cid:durableId="119538111">
    <w:abstractNumId w:val="1"/>
  </w:num>
  <w:num w:numId="11" w16cid:durableId="170697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70654"/>
    <w:rsid w:val="00191966"/>
    <w:rsid w:val="001A79E1"/>
    <w:rsid w:val="001B193F"/>
    <w:rsid w:val="001D0B27"/>
    <w:rsid w:val="001D4728"/>
    <w:rsid w:val="001D5D37"/>
    <w:rsid w:val="00212C35"/>
    <w:rsid w:val="00213118"/>
    <w:rsid w:val="00224B0D"/>
    <w:rsid w:val="0024722A"/>
    <w:rsid w:val="002525E7"/>
    <w:rsid w:val="002535CF"/>
    <w:rsid w:val="002560FF"/>
    <w:rsid w:val="0026181E"/>
    <w:rsid w:val="00264869"/>
    <w:rsid w:val="00295849"/>
    <w:rsid w:val="002A2967"/>
    <w:rsid w:val="002B2531"/>
    <w:rsid w:val="002B2A53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3881"/>
    <w:rsid w:val="00396228"/>
    <w:rsid w:val="003B12D9"/>
    <w:rsid w:val="003D13EC"/>
    <w:rsid w:val="0040725E"/>
    <w:rsid w:val="004154AF"/>
    <w:rsid w:val="00446658"/>
    <w:rsid w:val="00447362"/>
    <w:rsid w:val="00462AC7"/>
    <w:rsid w:val="00463FEE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60F7"/>
    <w:rsid w:val="00A56B7C"/>
    <w:rsid w:val="00A6202F"/>
    <w:rsid w:val="00A62621"/>
    <w:rsid w:val="00A97662"/>
    <w:rsid w:val="00AC0896"/>
    <w:rsid w:val="00AC1E54"/>
    <w:rsid w:val="00AF71F5"/>
    <w:rsid w:val="00B02AC9"/>
    <w:rsid w:val="00B04E79"/>
    <w:rsid w:val="00B26438"/>
    <w:rsid w:val="00BB6020"/>
    <w:rsid w:val="00C56547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B7D63"/>
    <w:rsid w:val="00DE4D85"/>
    <w:rsid w:val="00DF2532"/>
    <w:rsid w:val="00E15821"/>
    <w:rsid w:val="00E27608"/>
    <w:rsid w:val="00E31920"/>
    <w:rsid w:val="00E34AAF"/>
    <w:rsid w:val="00E432DB"/>
    <w:rsid w:val="00E57151"/>
    <w:rsid w:val="00E904EE"/>
    <w:rsid w:val="00EA650D"/>
    <w:rsid w:val="00EA6865"/>
    <w:rsid w:val="00EC4D93"/>
    <w:rsid w:val="00EE2A3B"/>
    <w:rsid w:val="00EE6B51"/>
    <w:rsid w:val="00F07AB1"/>
    <w:rsid w:val="00F17B8B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BF0AA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MST Chudčice</cp:lastModifiedBy>
  <cp:revision>3</cp:revision>
  <cp:lastPrinted>2023-07-04T13:12:00Z</cp:lastPrinted>
  <dcterms:created xsi:type="dcterms:W3CDTF">2023-07-04T12:36:00Z</dcterms:created>
  <dcterms:modified xsi:type="dcterms:W3CDTF">2023-07-04T13:46:00Z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2023-07-04T11:33:21Z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dd047be5-ac5f-44aa-bc41-cefea8261f3c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